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99920" w14:textId="77777777" w:rsidR="000C306D" w:rsidRPr="008601EE" w:rsidRDefault="00691D07" w:rsidP="000C306D">
      <w:pPr>
        <w:jc w:val="center"/>
        <w:rPr>
          <w:rFonts w:ascii="Times New Roman" w:hAnsi="Times New Roman" w:cs="Times New Roman"/>
          <w:b/>
          <w:sz w:val="28"/>
          <w:szCs w:val="28"/>
        </w:rPr>
      </w:pPr>
      <w:r w:rsidRPr="008601EE">
        <w:rPr>
          <w:rFonts w:ascii="Times New Roman" w:hAnsi="Times New Roman" w:cs="Times New Roman"/>
          <w:b/>
          <w:sz w:val="28"/>
          <w:szCs w:val="28"/>
        </w:rPr>
        <w:t>T</w:t>
      </w:r>
      <w:r w:rsidR="000C306D" w:rsidRPr="008601EE">
        <w:rPr>
          <w:rFonts w:ascii="Times New Roman" w:hAnsi="Times New Roman" w:cs="Times New Roman"/>
          <w:b/>
          <w:sz w:val="28"/>
          <w:szCs w:val="28"/>
        </w:rPr>
        <w:t>ERMS OF REFERENCE</w:t>
      </w:r>
    </w:p>
    <w:p w14:paraId="3D942B7B" w14:textId="2809A7C1" w:rsidR="003E28BC" w:rsidRPr="008601EE" w:rsidRDefault="005D0646" w:rsidP="000C306D">
      <w:pPr>
        <w:jc w:val="center"/>
        <w:rPr>
          <w:rFonts w:ascii="Times New Roman" w:hAnsi="Times New Roman" w:cs="Times New Roman"/>
          <w:b/>
          <w:sz w:val="24"/>
          <w:szCs w:val="24"/>
        </w:rPr>
      </w:pPr>
      <w:r w:rsidRPr="005D0646">
        <w:rPr>
          <w:rFonts w:ascii="Times New Roman" w:hAnsi="Times New Roman" w:cs="Times New Roman"/>
          <w:b/>
          <w:sz w:val="24"/>
          <w:szCs w:val="24"/>
          <w:highlight w:val="yellow"/>
        </w:rPr>
        <w:t>SURVEY NAME AND LOCATION</w:t>
      </w:r>
    </w:p>
    <w:p w14:paraId="7854D2C4" w14:textId="77777777" w:rsidR="00540395" w:rsidRPr="008601EE" w:rsidRDefault="00540395" w:rsidP="00540395">
      <w:pPr>
        <w:pBdr>
          <w:bottom w:val="single" w:sz="6" w:space="1" w:color="auto"/>
        </w:pBdr>
        <w:jc w:val="center"/>
        <w:rPr>
          <w:rFonts w:ascii="Times New Roman" w:hAnsi="Times New Roman" w:cs="Times New Roman"/>
          <w:sz w:val="32"/>
          <w:szCs w:val="32"/>
        </w:rPr>
      </w:pPr>
      <w:r w:rsidRPr="008601EE">
        <w:rPr>
          <w:rFonts w:ascii="Times New Roman" w:hAnsi="Times New Roman" w:cs="Times New Roman"/>
          <w:b/>
          <w:sz w:val="32"/>
          <w:szCs w:val="32"/>
        </w:rPr>
        <w:t xml:space="preserve">Submitted by: </w:t>
      </w:r>
      <w:r w:rsidRPr="008601EE">
        <w:rPr>
          <w:rFonts w:ascii="Times New Roman" w:hAnsi="Times New Roman" w:cs="Times New Roman"/>
          <w:sz w:val="32"/>
          <w:szCs w:val="32"/>
        </w:rPr>
        <w:t>Nutrition Section</w:t>
      </w:r>
    </w:p>
    <w:p w14:paraId="6926952C" w14:textId="1575589B" w:rsidR="009D010C" w:rsidRPr="005D0646" w:rsidRDefault="00D83888" w:rsidP="001C2479">
      <w:pPr>
        <w:pStyle w:val="ListParagraph"/>
        <w:keepNext/>
        <w:widowControl w:val="0"/>
        <w:numPr>
          <w:ilvl w:val="0"/>
          <w:numId w:val="11"/>
        </w:numPr>
        <w:tabs>
          <w:tab w:val="left" w:pos="360"/>
        </w:tabs>
        <w:autoSpaceDE w:val="0"/>
        <w:autoSpaceDN w:val="0"/>
        <w:adjustRightInd w:val="0"/>
        <w:spacing w:before="240" w:after="60"/>
        <w:ind w:left="0" w:firstLine="0"/>
        <w:outlineLvl w:val="0"/>
        <w:rPr>
          <w:bCs/>
          <w:kern w:val="32"/>
          <w:sz w:val="22"/>
          <w:szCs w:val="22"/>
          <w:highlight w:val="yellow"/>
          <w:u w:val="single"/>
        </w:rPr>
      </w:pPr>
      <w:bookmarkStart w:id="0" w:name="_Toc249109085"/>
      <w:bookmarkStart w:id="1" w:name="_Toc265757917"/>
      <w:bookmarkStart w:id="2" w:name="_Toc248184948"/>
      <w:bookmarkStart w:id="3" w:name="_Toc248184985"/>
      <w:bookmarkStart w:id="4" w:name="_Toc248190708"/>
      <w:bookmarkStart w:id="5" w:name="_Toc248190747"/>
      <w:bookmarkStart w:id="6" w:name="_Toc248190785"/>
      <w:r w:rsidRPr="005D0646">
        <w:rPr>
          <w:bCs/>
          <w:kern w:val="32"/>
          <w:sz w:val="22"/>
          <w:szCs w:val="22"/>
          <w:highlight w:val="yellow"/>
          <w:u w:val="single"/>
        </w:rPr>
        <w:t>BACKGROUND</w:t>
      </w:r>
      <w:bookmarkEnd w:id="0"/>
      <w:bookmarkEnd w:id="1"/>
      <w:r w:rsidR="005D0646" w:rsidRPr="005D0646">
        <w:rPr>
          <w:bCs/>
          <w:kern w:val="32"/>
          <w:sz w:val="22"/>
          <w:szCs w:val="22"/>
          <w:highlight w:val="yellow"/>
        </w:rPr>
        <w:t xml:space="preserve">  (Change this to match specific background information from the country)</w:t>
      </w:r>
    </w:p>
    <w:bookmarkEnd w:id="2"/>
    <w:bookmarkEnd w:id="3"/>
    <w:bookmarkEnd w:id="4"/>
    <w:bookmarkEnd w:id="5"/>
    <w:bookmarkEnd w:id="6"/>
    <w:p w14:paraId="0835AF73" w14:textId="77777777" w:rsidR="0056713E" w:rsidRDefault="0056713E" w:rsidP="00482A30">
      <w:pPr>
        <w:tabs>
          <w:tab w:val="left" w:pos="360"/>
        </w:tabs>
        <w:autoSpaceDE w:val="0"/>
        <w:autoSpaceDN w:val="0"/>
        <w:adjustRightInd w:val="0"/>
        <w:jc w:val="both"/>
        <w:rPr>
          <w:rFonts w:ascii="Times New Roman" w:hAnsi="Times New Roman" w:cs="Times New Roman"/>
        </w:rPr>
      </w:pPr>
    </w:p>
    <w:p w14:paraId="0E9888ED" w14:textId="77777777" w:rsidR="009D010C" w:rsidRPr="008601EE" w:rsidRDefault="009D010C" w:rsidP="00482A30">
      <w:pPr>
        <w:tabs>
          <w:tab w:val="left" w:pos="360"/>
        </w:tabs>
        <w:autoSpaceDE w:val="0"/>
        <w:autoSpaceDN w:val="0"/>
        <w:adjustRightInd w:val="0"/>
        <w:jc w:val="both"/>
        <w:rPr>
          <w:rFonts w:ascii="Times New Roman" w:hAnsi="Times New Roman" w:cs="Times New Roman"/>
        </w:rPr>
      </w:pPr>
      <w:r w:rsidRPr="008601EE">
        <w:rPr>
          <w:rFonts w:ascii="Times New Roman" w:hAnsi="Times New Roman" w:cs="Times New Roman"/>
        </w:rPr>
        <w:t xml:space="preserve">The burden of malnutrition is high in Nepal, </w:t>
      </w:r>
      <w:r w:rsidR="00B644E9" w:rsidRPr="008601EE">
        <w:rPr>
          <w:rFonts w:ascii="Times New Roman" w:hAnsi="Times New Roman" w:cs="Times New Roman"/>
        </w:rPr>
        <w:t xml:space="preserve">41% of all under-fives are stunted and </w:t>
      </w:r>
      <w:r w:rsidRPr="008601EE">
        <w:rPr>
          <w:rFonts w:ascii="Times New Roman" w:hAnsi="Times New Roman" w:cs="Times New Roman"/>
        </w:rPr>
        <w:t xml:space="preserve">46% </w:t>
      </w:r>
      <w:r w:rsidR="00B644E9" w:rsidRPr="008601EE">
        <w:rPr>
          <w:rFonts w:ascii="Times New Roman" w:hAnsi="Times New Roman" w:cs="Times New Roman"/>
        </w:rPr>
        <w:t xml:space="preserve">are anemic </w:t>
      </w:r>
      <w:r w:rsidRPr="008601EE">
        <w:rPr>
          <w:rFonts w:ascii="Times New Roman" w:hAnsi="Times New Roman" w:cs="Times New Roman"/>
        </w:rPr>
        <w:t xml:space="preserve">(NDHS 2011).  </w:t>
      </w:r>
      <w:r w:rsidR="0016654C" w:rsidRPr="008601EE">
        <w:rPr>
          <w:rFonts w:ascii="Times New Roman" w:hAnsi="Times New Roman" w:cs="Times New Roman"/>
        </w:rPr>
        <w:t>The</w:t>
      </w:r>
      <w:r w:rsidRPr="008601EE">
        <w:rPr>
          <w:rFonts w:ascii="Times New Roman" w:hAnsi="Times New Roman" w:cs="Times New Roman"/>
        </w:rPr>
        <w:t xml:space="preserve"> prevalence of anemia </w:t>
      </w:r>
      <w:r w:rsidR="0016654C" w:rsidRPr="008601EE">
        <w:rPr>
          <w:rFonts w:ascii="Times New Roman" w:hAnsi="Times New Roman" w:cs="Times New Roman"/>
        </w:rPr>
        <w:t xml:space="preserve">among 6-23 months children is </w:t>
      </w:r>
      <w:r w:rsidR="00B644E9" w:rsidRPr="008601EE">
        <w:rPr>
          <w:rFonts w:ascii="Times New Roman" w:hAnsi="Times New Roman" w:cs="Times New Roman"/>
        </w:rPr>
        <w:t xml:space="preserve">particularly high at </w:t>
      </w:r>
      <w:r w:rsidR="0016654C" w:rsidRPr="008601EE">
        <w:rPr>
          <w:rFonts w:ascii="Times New Roman" w:hAnsi="Times New Roman" w:cs="Times New Roman"/>
        </w:rPr>
        <w:t>69%</w:t>
      </w:r>
      <w:r w:rsidRPr="008601EE">
        <w:rPr>
          <w:rFonts w:ascii="Times New Roman" w:hAnsi="Times New Roman" w:cs="Times New Roman"/>
        </w:rPr>
        <w:t xml:space="preserve">.  The distribution of anemia prevalence varies geographically by ecological zones and by urban and rural residence.  Among children 6-59 months, </w:t>
      </w:r>
      <w:r w:rsidR="00B644E9" w:rsidRPr="008601EE">
        <w:rPr>
          <w:rFonts w:ascii="Times New Roman" w:hAnsi="Times New Roman" w:cs="Times New Roman"/>
        </w:rPr>
        <w:t>anemia prevalence is the highest in the terrai (</w:t>
      </w:r>
      <w:r w:rsidRPr="008601EE">
        <w:rPr>
          <w:rFonts w:ascii="Times New Roman" w:hAnsi="Times New Roman" w:cs="Times New Roman"/>
        </w:rPr>
        <w:t>50%</w:t>
      </w:r>
      <w:r w:rsidR="00B644E9" w:rsidRPr="008601EE">
        <w:rPr>
          <w:rFonts w:ascii="Times New Roman" w:hAnsi="Times New Roman" w:cs="Times New Roman"/>
        </w:rPr>
        <w:t xml:space="preserve">), followed by the mountains (48%) and the hills (41%).  Children in rural areas are more affected (47%) compared to their counterparts from the </w:t>
      </w:r>
      <w:r w:rsidRPr="008601EE">
        <w:rPr>
          <w:rFonts w:ascii="Times New Roman" w:hAnsi="Times New Roman" w:cs="Times New Roman"/>
        </w:rPr>
        <w:t>urban areas</w:t>
      </w:r>
      <w:r w:rsidR="00B644E9" w:rsidRPr="008601EE">
        <w:rPr>
          <w:rFonts w:ascii="Times New Roman" w:hAnsi="Times New Roman" w:cs="Times New Roman"/>
        </w:rPr>
        <w:t xml:space="preserve"> (41%)</w:t>
      </w:r>
      <w:r w:rsidRPr="008601EE">
        <w:rPr>
          <w:rFonts w:ascii="Times New Roman" w:hAnsi="Times New Roman" w:cs="Times New Roman"/>
        </w:rPr>
        <w:t xml:space="preserve">.  The majority of the population lives in the terai (48%), </w:t>
      </w:r>
      <w:r w:rsidR="00B644E9" w:rsidRPr="008601EE">
        <w:rPr>
          <w:rFonts w:ascii="Times New Roman" w:hAnsi="Times New Roman" w:cs="Times New Roman"/>
        </w:rPr>
        <w:t>followed by the hills (44%)</w:t>
      </w:r>
      <w:r w:rsidRPr="008601EE">
        <w:rPr>
          <w:rFonts w:ascii="Times New Roman" w:hAnsi="Times New Roman" w:cs="Times New Roman"/>
        </w:rPr>
        <w:t xml:space="preserve">, </w:t>
      </w:r>
      <w:r w:rsidR="00B2762F">
        <w:rPr>
          <w:rFonts w:ascii="Times New Roman" w:hAnsi="Times New Roman" w:cs="Times New Roman"/>
        </w:rPr>
        <w:t xml:space="preserve">while </w:t>
      </w:r>
      <w:r w:rsidRPr="008601EE">
        <w:rPr>
          <w:rFonts w:ascii="Times New Roman" w:hAnsi="Times New Roman" w:cs="Times New Roman"/>
        </w:rPr>
        <w:t>only 7% live in the mountainous ecological zone. Nepal is predominantly rural, with 14% of the population living in urban areas in 20</w:t>
      </w:r>
      <w:r w:rsidR="00B2762F">
        <w:rPr>
          <w:rFonts w:ascii="Times New Roman" w:hAnsi="Times New Roman" w:cs="Times New Roman"/>
        </w:rPr>
        <w:t>0</w:t>
      </w:r>
      <w:r w:rsidRPr="008601EE">
        <w:rPr>
          <w:rFonts w:ascii="Times New Roman" w:hAnsi="Times New Roman" w:cs="Times New Roman"/>
        </w:rPr>
        <w:t xml:space="preserve">1; however, it is likely that the 2011 census will indicate an increased urban population.  All socioeconomic groups are affected by anemia in </w:t>
      </w:r>
      <w:r w:rsidR="00B2762F">
        <w:rPr>
          <w:rFonts w:ascii="Times New Roman" w:hAnsi="Times New Roman" w:cs="Times New Roman"/>
        </w:rPr>
        <w:t>the country</w:t>
      </w:r>
      <w:r w:rsidR="00417CEC" w:rsidRPr="008601EE">
        <w:rPr>
          <w:rFonts w:ascii="Times New Roman" w:hAnsi="Times New Roman" w:cs="Times New Roman"/>
        </w:rPr>
        <w:t xml:space="preserve">; </w:t>
      </w:r>
      <w:r w:rsidRPr="008601EE">
        <w:rPr>
          <w:rFonts w:ascii="Times New Roman" w:hAnsi="Times New Roman" w:cs="Times New Roman"/>
        </w:rPr>
        <w:t>the prevalence is high even in the highest socioeconomic quintile, with over 3</w:t>
      </w:r>
      <w:r w:rsidR="0016654C" w:rsidRPr="008601EE">
        <w:rPr>
          <w:rFonts w:ascii="Times New Roman" w:hAnsi="Times New Roman" w:cs="Times New Roman"/>
        </w:rPr>
        <w:t>7</w:t>
      </w:r>
      <w:r w:rsidRPr="008601EE">
        <w:rPr>
          <w:rFonts w:ascii="Times New Roman" w:hAnsi="Times New Roman" w:cs="Times New Roman"/>
        </w:rPr>
        <w:t>% of children 6-59 months affected. Among children 12-59 months who received deworming tablets in the last six months, anemia prevalence was 4</w:t>
      </w:r>
      <w:r w:rsidR="0016654C" w:rsidRPr="008601EE">
        <w:rPr>
          <w:rFonts w:ascii="Times New Roman" w:hAnsi="Times New Roman" w:cs="Times New Roman"/>
        </w:rPr>
        <w:t>1</w:t>
      </w:r>
      <w:r w:rsidRPr="008601EE">
        <w:rPr>
          <w:rFonts w:ascii="Times New Roman" w:hAnsi="Times New Roman" w:cs="Times New Roman"/>
        </w:rPr>
        <w:t>% compared to 5</w:t>
      </w:r>
      <w:r w:rsidR="0016654C" w:rsidRPr="008601EE">
        <w:rPr>
          <w:rFonts w:ascii="Times New Roman" w:hAnsi="Times New Roman" w:cs="Times New Roman"/>
        </w:rPr>
        <w:t>1</w:t>
      </w:r>
      <w:r w:rsidRPr="008601EE">
        <w:rPr>
          <w:rFonts w:ascii="Times New Roman" w:hAnsi="Times New Roman" w:cs="Times New Roman"/>
        </w:rPr>
        <w:t>% among eligible children who had not received treatment in the l</w:t>
      </w:r>
      <w:r w:rsidR="0016654C" w:rsidRPr="008601EE">
        <w:rPr>
          <w:rFonts w:ascii="Times New Roman" w:hAnsi="Times New Roman" w:cs="Times New Roman"/>
        </w:rPr>
        <w:t>ast six months.</w:t>
      </w:r>
      <w:r w:rsidR="00B2762F">
        <w:rPr>
          <w:rFonts w:ascii="Times New Roman" w:hAnsi="Times New Roman" w:cs="Times New Roman"/>
        </w:rPr>
        <w:t xml:space="preserve">  This means that additional interventions are needed to address other causes of anemia, such as iron deficiency.</w:t>
      </w:r>
      <w:r w:rsidR="0016654C" w:rsidRPr="008601EE">
        <w:rPr>
          <w:rFonts w:ascii="Times New Roman" w:hAnsi="Times New Roman" w:cs="Times New Roman"/>
        </w:rPr>
        <w:t xml:space="preserve"> </w:t>
      </w:r>
    </w:p>
    <w:p w14:paraId="0CC99DC7" w14:textId="517C3CA8" w:rsidR="00782380" w:rsidRDefault="00417CEC" w:rsidP="00482A30">
      <w:pPr>
        <w:autoSpaceDE w:val="0"/>
        <w:autoSpaceDN w:val="0"/>
        <w:adjustRightInd w:val="0"/>
        <w:spacing w:after="0"/>
        <w:jc w:val="both"/>
        <w:rPr>
          <w:rFonts w:ascii="Times New Roman" w:hAnsi="Times New Roman" w:cs="Times New Roman"/>
        </w:rPr>
      </w:pPr>
      <w:r w:rsidRPr="008601EE">
        <w:rPr>
          <w:rFonts w:ascii="Times New Roman" w:hAnsi="Times New Roman" w:cs="Times New Roman"/>
        </w:rPr>
        <w:t xml:space="preserve">Infant and young child </w:t>
      </w:r>
      <w:r w:rsidR="009D010C" w:rsidRPr="008601EE">
        <w:rPr>
          <w:rFonts w:ascii="Times New Roman" w:hAnsi="Times New Roman" w:cs="Times New Roman"/>
        </w:rPr>
        <w:t xml:space="preserve">feeding practices contribute to </w:t>
      </w:r>
      <w:r w:rsidRPr="008601EE">
        <w:rPr>
          <w:rFonts w:ascii="Times New Roman" w:hAnsi="Times New Roman" w:cs="Times New Roman"/>
        </w:rPr>
        <w:t xml:space="preserve">the </w:t>
      </w:r>
      <w:r w:rsidR="009D010C" w:rsidRPr="008601EE">
        <w:rPr>
          <w:rFonts w:ascii="Times New Roman" w:hAnsi="Times New Roman" w:cs="Times New Roman"/>
        </w:rPr>
        <w:t xml:space="preserve">high rates of chronic malnutrition </w:t>
      </w:r>
      <w:r w:rsidRPr="008601EE">
        <w:rPr>
          <w:rFonts w:ascii="Times New Roman" w:hAnsi="Times New Roman" w:cs="Times New Roman"/>
        </w:rPr>
        <w:t xml:space="preserve">and anemia. </w:t>
      </w:r>
      <w:r w:rsidR="00B65A8B" w:rsidRPr="008601EE">
        <w:rPr>
          <w:rFonts w:ascii="Times New Roman" w:hAnsi="Times New Roman" w:cs="Times New Roman"/>
        </w:rPr>
        <w:t xml:space="preserve">Breastfeeding in Nepal is almost universal, and exclusive breastfeeding for the first six months is </w:t>
      </w:r>
      <w:r w:rsidRPr="008601EE">
        <w:rPr>
          <w:rFonts w:ascii="Times New Roman" w:hAnsi="Times New Roman" w:cs="Times New Roman"/>
        </w:rPr>
        <w:t xml:space="preserve">relatively </w:t>
      </w:r>
      <w:r w:rsidR="00B65A8B" w:rsidRPr="008601EE">
        <w:rPr>
          <w:rFonts w:ascii="Times New Roman" w:hAnsi="Times New Roman" w:cs="Times New Roman"/>
        </w:rPr>
        <w:t>widespread</w:t>
      </w:r>
      <w:r w:rsidRPr="008601EE">
        <w:rPr>
          <w:rFonts w:ascii="Times New Roman" w:hAnsi="Times New Roman" w:cs="Times New Roman"/>
        </w:rPr>
        <w:t xml:space="preserve">; </w:t>
      </w:r>
      <w:r w:rsidR="00B65A8B" w:rsidRPr="008601EE">
        <w:rPr>
          <w:rFonts w:ascii="Times New Roman" w:hAnsi="Times New Roman" w:cs="Times New Roman"/>
        </w:rPr>
        <w:t xml:space="preserve">70 % of </w:t>
      </w:r>
      <w:r w:rsidRPr="008601EE">
        <w:rPr>
          <w:rFonts w:ascii="Times New Roman" w:hAnsi="Times New Roman" w:cs="Times New Roman"/>
        </w:rPr>
        <w:t xml:space="preserve">all </w:t>
      </w:r>
      <w:r w:rsidR="00B65A8B" w:rsidRPr="008601EE">
        <w:rPr>
          <w:rFonts w:ascii="Times New Roman" w:hAnsi="Times New Roman" w:cs="Times New Roman"/>
        </w:rPr>
        <w:t xml:space="preserve">children </w:t>
      </w:r>
      <w:r w:rsidRPr="008601EE">
        <w:rPr>
          <w:rFonts w:ascii="Times New Roman" w:hAnsi="Times New Roman" w:cs="Times New Roman"/>
        </w:rPr>
        <w:t xml:space="preserve">less than </w:t>
      </w:r>
      <w:r w:rsidR="00B65A8B" w:rsidRPr="008601EE">
        <w:rPr>
          <w:rFonts w:ascii="Times New Roman" w:hAnsi="Times New Roman" w:cs="Times New Roman"/>
        </w:rPr>
        <w:t xml:space="preserve">6 months are exclusively breastfed. This </w:t>
      </w:r>
      <w:r w:rsidRPr="008601EE">
        <w:rPr>
          <w:rFonts w:ascii="Times New Roman" w:hAnsi="Times New Roman" w:cs="Times New Roman"/>
        </w:rPr>
        <w:t xml:space="preserve">represents </w:t>
      </w:r>
      <w:r w:rsidR="00B65A8B" w:rsidRPr="008601EE">
        <w:rPr>
          <w:rFonts w:ascii="Times New Roman" w:hAnsi="Times New Roman" w:cs="Times New Roman"/>
        </w:rPr>
        <w:t xml:space="preserve">an improvement from </w:t>
      </w:r>
      <w:r w:rsidRPr="008601EE">
        <w:rPr>
          <w:rFonts w:ascii="Times New Roman" w:hAnsi="Times New Roman" w:cs="Times New Roman"/>
        </w:rPr>
        <w:t xml:space="preserve">53% found in </w:t>
      </w:r>
      <w:r w:rsidR="00B65A8B" w:rsidRPr="008601EE">
        <w:rPr>
          <w:rFonts w:ascii="Times New Roman" w:hAnsi="Times New Roman" w:cs="Times New Roman"/>
        </w:rPr>
        <w:t xml:space="preserve">2006 </w:t>
      </w:r>
      <w:r w:rsidRPr="008601EE">
        <w:rPr>
          <w:rFonts w:ascii="Times New Roman" w:hAnsi="Times New Roman" w:cs="Times New Roman"/>
        </w:rPr>
        <w:t>N</w:t>
      </w:r>
      <w:r w:rsidR="00B65A8B" w:rsidRPr="008601EE">
        <w:rPr>
          <w:rFonts w:ascii="Times New Roman" w:hAnsi="Times New Roman" w:cs="Times New Roman"/>
        </w:rPr>
        <w:t>DHS</w:t>
      </w:r>
      <w:r w:rsidRPr="008601EE">
        <w:rPr>
          <w:rFonts w:ascii="Times New Roman" w:hAnsi="Times New Roman" w:cs="Times New Roman"/>
        </w:rPr>
        <w:t>.</w:t>
      </w:r>
      <w:r w:rsidR="00B65A8B" w:rsidRPr="008601EE">
        <w:rPr>
          <w:rFonts w:ascii="Times New Roman" w:hAnsi="Times New Roman" w:cs="Times New Roman"/>
        </w:rPr>
        <w:t xml:space="preserve"> </w:t>
      </w:r>
      <w:r w:rsidR="00D24E09" w:rsidRPr="008601EE">
        <w:rPr>
          <w:rFonts w:ascii="Times New Roman" w:hAnsi="Times New Roman" w:cs="Times New Roman"/>
        </w:rPr>
        <w:t xml:space="preserve"> </w:t>
      </w:r>
      <w:r w:rsidR="00B65A8B" w:rsidRPr="008601EE">
        <w:rPr>
          <w:rFonts w:ascii="Times New Roman" w:hAnsi="Times New Roman" w:cs="Times New Roman"/>
        </w:rPr>
        <w:t>Of the</w:t>
      </w:r>
      <w:r w:rsidR="009D010C" w:rsidRPr="008601EE">
        <w:rPr>
          <w:rFonts w:ascii="Times New Roman" w:hAnsi="Times New Roman" w:cs="Times New Roman"/>
        </w:rPr>
        <w:t xml:space="preserve"> 98% </w:t>
      </w:r>
      <w:r w:rsidR="00B65A8B" w:rsidRPr="008601EE">
        <w:rPr>
          <w:rFonts w:ascii="Times New Roman" w:hAnsi="Times New Roman" w:cs="Times New Roman"/>
        </w:rPr>
        <w:t xml:space="preserve">ever </w:t>
      </w:r>
      <w:r w:rsidR="009D010C" w:rsidRPr="008601EE">
        <w:rPr>
          <w:rFonts w:ascii="Times New Roman" w:hAnsi="Times New Roman" w:cs="Times New Roman"/>
        </w:rPr>
        <w:t>breastfe</w:t>
      </w:r>
      <w:r w:rsidR="00B65A8B" w:rsidRPr="008601EE">
        <w:rPr>
          <w:rFonts w:ascii="Times New Roman" w:hAnsi="Times New Roman" w:cs="Times New Roman"/>
        </w:rPr>
        <w:t>d, 45</w:t>
      </w:r>
      <w:r w:rsidR="009D010C" w:rsidRPr="008601EE">
        <w:rPr>
          <w:rFonts w:ascii="Times New Roman" w:hAnsi="Times New Roman" w:cs="Times New Roman"/>
        </w:rPr>
        <w:t xml:space="preserve">% started breastfeeding within one hour of birth </w:t>
      </w:r>
      <w:r w:rsidR="00B65A8B" w:rsidRPr="008601EE">
        <w:rPr>
          <w:rFonts w:ascii="Times New Roman" w:hAnsi="Times New Roman" w:cs="Times New Roman"/>
        </w:rPr>
        <w:t xml:space="preserve">(compared to 35% in 2006) </w:t>
      </w:r>
      <w:r w:rsidR="009D010C" w:rsidRPr="008601EE">
        <w:rPr>
          <w:rFonts w:ascii="Times New Roman" w:hAnsi="Times New Roman" w:cs="Times New Roman"/>
        </w:rPr>
        <w:t>and 85% started breastfeeding within one day of birth.</w:t>
      </w:r>
      <w:r w:rsidR="00D24E09" w:rsidRPr="008601EE">
        <w:rPr>
          <w:rFonts w:ascii="Times New Roman" w:hAnsi="Times New Roman" w:cs="Times New Roman"/>
        </w:rPr>
        <w:t xml:space="preserve"> </w:t>
      </w:r>
      <w:r w:rsidR="00B65A8B" w:rsidRPr="008601EE">
        <w:rPr>
          <w:rFonts w:ascii="Times New Roman" w:hAnsi="Times New Roman" w:cs="Times New Roman"/>
        </w:rPr>
        <w:t>Breastfeeding within one hour of birth was more common in urban areas (51 %) than in rural areas (44 %).</w:t>
      </w:r>
      <w:r w:rsidR="00D14623" w:rsidRPr="008601EE">
        <w:rPr>
          <w:rFonts w:ascii="Times New Roman" w:hAnsi="Times New Roman" w:cs="Times New Roman"/>
        </w:rPr>
        <w:t xml:space="preserve">  </w:t>
      </w:r>
      <w:r w:rsidR="00B2762F">
        <w:rPr>
          <w:rFonts w:ascii="Times New Roman" w:hAnsi="Times New Roman" w:cs="Times New Roman"/>
        </w:rPr>
        <w:t>However, t</w:t>
      </w:r>
      <w:r w:rsidR="00D14623" w:rsidRPr="008601EE">
        <w:rPr>
          <w:rFonts w:ascii="Times New Roman" w:hAnsi="Times New Roman" w:cs="Times New Roman"/>
        </w:rPr>
        <w:t>imely introduction of complementary foods is a concern, a</w:t>
      </w:r>
      <w:r w:rsidR="009D010C" w:rsidRPr="008601EE">
        <w:rPr>
          <w:rFonts w:ascii="Times New Roman" w:hAnsi="Times New Roman" w:cs="Times New Roman"/>
        </w:rPr>
        <w:t xml:space="preserve">mong breastfeeding children </w:t>
      </w:r>
      <w:r w:rsidR="009D010C" w:rsidRPr="008601EE">
        <w:rPr>
          <w:rFonts w:ascii="Times New Roman" w:hAnsi="Times New Roman" w:cs="Times New Roman"/>
        </w:rPr>
        <w:lastRenderedPageBreak/>
        <w:t>6-</w:t>
      </w:r>
      <w:r w:rsidR="00202D5A" w:rsidRPr="008601EE">
        <w:rPr>
          <w:rFonts w:ascii="Times New Roman" w:hAnsi="Times New Roman" w:cs="Times New Roman"/>
        </w:rPr>
        <w:t>8</w:t>
      </w:r>
      <w:r w:rsidR="009D010C" w:rsidRPr="008601EE">
        <w:rPr>
          <w:rFonts w:ascii="Times New Roman" w:hAnsi="Times New Roman" w:cs="Times New Roman"/>
        </w:rPr>
        <w:t xml:space="preserve"> months of age, </w:t>
      </w:r>
      <w:r w:rsidR="00D14623" w:rsidRPr="008601EE">
        <w:rPr>
          <w:rFonts w:ascii="Times New Roman" w:hAnsi="Times New Roman" w:cs="Times New Roman"/>
        </w:rPr>
        <w:t xml:space="preserve">only </w:t>
      </w:r>
      <w:r w:rsidR="009D010C" w:rsidRPr="008601EE">
        <w:rPr>
          <w:rFonts w:ascii="Times New Roman" w:hAnsi="Times New Roman" w:cs="Times New Roman"/>
        </w:rPr>
        <w:t>6</w:t>
      </w:r>
      <w:r w:rsidR="00202D5A" w:rsidRPr="008601EE">
        <w:rPr>
          <w:rFonts w:ascii="Times New Roman" w:hAnsi="Times New Roman" w:cs="Times New Roman"/>
        </w:rPr>
        <w:t>6</w:t>
      </w:r>
      <w:r w:rsidR="009D010C" w:rsidRPr="008601EE">
        <w:rPr>
          <w:rFonts w:ascii="Times New Roman" w:hAnsi="Times New Roman" w:cs="Times New Roman"/>
        </w:rPr>
        <w:t>% receiv</w:t>
      </w:r>
      <w:r w:rsidR="00D14623" w:rsidRPr="008601EE">
        <w:rPr>
          <w:rFonts w:ascii="Times New Roman" w:hAnsi="Times New Roman" w:cs="Times New Roman"/>
        </w:rPr>
        <w:t>ed</w:t>
      </w:r>
      <w:r w:rsidR="009D010C" w:rsidRPr="008601EE">
        <w:rPr>
          <w:rFonts w:ascii="Times New Roman" w:hAnsi="Times New Roman" w:cs="Times New Roman"/>
        </w:rPr>
        <w:t xml:space="preserve"> solid or semi-solid food</w:t>
      </w:r>
      <w:r w:rsidR="00D14623" w:rsidRPr="008601EE">
        <w:rPr>
          <w:rFonts w:ascii="Times New Roman" w:hAnsi="Times New Roman" w:cs="Times New Roman"/>
        </w:rPr>
        <w:t>s</w:t>
      </w:r>
      <w:r w:rsidR="009D010C" w:rsidRPr="008601EE">
        <w:rPr>
          <w:rFonts w:ascii="Times New Roman" w:hAnsi="Times New Roman" w:cs="Times New Roman"/>
        </w:rPr>
        <w:t xml:space="preserve">. </w:t>
      </w:r>
      <w:r w:rsidR="00D14623" w:rsidRPr="008601EE">
        <w:rPr>
          <w:rFonts w:ascii="Times New Roman" w:hAnsi="Times New Roman" w:cs="Times New Roman"/>
        </w:rPr>
        <w:t xml:space="preserve"> Appropriate complementary feeding in terms of frequency is also an issue; </w:t>
      </w:r>
      <w:r w:rsidR="00B2762F">
        <w:rPr>
          <w:rFonts w:ascii="Times New Roman" w:hAnsi="Times New Roman" w:cs="Times New Roman"/>
        </w:rPr>
        <w:t xml:space="preserve">though </w:t>
      </w:r>
      <w:r w:rsidR="005D5FC8" w:rsidRPr="008601EE">
        <w:rPr>
          <w:rFonts w:ascii="Times New Roman" w:hAnsi="Times New Roman" w:cs="Times New Roman"/>
        </w:rPr>
        <w:t xml:space="preserve">78% were consuming solid/semi-solid foods </w:t>
      </w:r>
      <w:r w:rsidR="00D14623" w:rsidRPr="008601EE">
        <w:rPr>
          <w:rFonts w:ascii="Times New Roman" w:hAnsi="Times New Roman" w:cs="Times New Roman"/>
        </w:rPr>
        <w:t xml:space="preserve">for </w:t>
      </w:r>
      <w:r w:rsidR="005D5FC8" w:rsidRPr="008601EE">
        <w:rPr>
          <w:rFonts w:ascii="Times New Roman" w:hAnsi="Times New Roman" w:cs="Times New Roman"/>
        </w:rPr>
        <w:t>the recommended minimum number of times</w:t>
      </w:r>
      <w:r w:rsidR="00782380" w:rsidRPr="008601EE">
        <w:rPr>
          <w:rFonts w:ascii="Times New Roman" w:hAnsi="Times New Roman" w:cs="Times New Roman"/>
        </w:rPr>
        <w:t xml:space="preserve"> </w:t>
      </w:r>
      <w:r w:rsidR="005D5FC8" w:rsidRPr="008601EE">
        <w:rPr>
          <w:rFonts w:ascii="Times New Roman" w:hAnsi="Times New Roman" w:cs="Times New Roman"/>
        </w:rPr>
        <w:t xml:space="preserve">per day </w:t>
      </w:r>
      <w:r w:rsidR="00B2762F" w:rsidRPr="008601EE">
        <w:rPr>
          <w:rFonts w:ascii="Times New Roman" w:hAnsi="Times New Roman" w:cs="Times New Roman"/>
        </w:rPr>
        <w:t xml:space="preserve">among all children 6-23 months, </w:t>
      </w:r>
      <w:r w:rsidR="00D14623" w:rsidRPr="008601EE">
        <w:rPr>
          <w:rFonts w:ascii="Times New Roman" w:hAnsi="Times New Roman" w:cs="Times New Roman"/>
        </w:rPr>
        <w:t xml:space="preserve">only </w:t>
      </w:r>
      <w:r w:rsidR="005D5FC8" w:rsidRPr="008601EE">
        <w:rPr>
          <w:rFonts w:ascii="Times New Roman" w:hAnsi="Times New Roman" w:cs="Times New Roman"/>
        </w:rPr>
        <w:t>28% were eating from the recommended number of food groups</w:t>
      </w:r>
      <w:r w:rsidR="00782380" w:rsidRPr="008601EE">
        <w:rPr>
          <w:rFonts w:ascii="Times New Roman" w:hAnsi="Times New Roman" w:cs="Times New Roman"/>
        </w:rPr>
        <w:t xml:space="preserve"> (4+)</w:t>
      </w:r>
      <w:r w:rsidR="00D14623" w:rsidRPr="008601EE">
        <w:rPr>
          <w:rFonts w:ascii="Times New Roman" w:hAnsi="Times New Roman" w:cs="Times New Roman"/>
        </w:rPr>
        <w:t xml:space="preserve">.  All in all, only </w:t>
      </w:r>
      <w:r w:rsidR="005D5FC8" w:rsidRPr="008601EE">
        <w:rPr>
          <w:rFonts w:ascii="Times New Roman" w:hAnsi="Times New Roman" w:cs="Times New Roman"/>
        </w:rPr>
        <w:t xml:space="preserve">24% met the three recommended IYCF practices (breastfeeding, number of feedings per day, and 4+ food groups). </w:t>
      </w:r>
      <w:r w:rsidR="00D14623" w:rsidRPr="008601EE">
        <w:rPr>
          <w:rFonts w:ascii="Times New Roman" w:hAnsi="Times New Roman" w:cs="Times New Roman"/>
        </w:rPr>
        <w:t xml:space="preserve"> Complementary feeding practices are particularly poor i</w:t>
      </w:r>
      <w:r w:rsidR="005D5FC8" w:rsidRPr="008601EE">
        <w:rPr>
          <w:rFonts w:ascii="Times New Roman" w:hAnsi="Times New Roman" w:cs="Times New Roman"/>
        </w:rPr>
        <w:t xml:space="preserve">n </w:t>
      </w:r>
      <w:r w:rsidR="00B2762F">
        <w:rPr>
          <w:rFonts w:ascii="Times New Roman" w:hAnsi="Times New Roman" w:cs="Times New Roman"/>
        </w:rPr>
        <w:t>t</w:t>
      </w:r>
      <w:r w:rsidR="005D5FC8" w:rsidRPr="008601EE">
        <w:rPr>
          <w:rFonts w:ascii="Times New Roman" w:hAnsi="Times New Roman" w:cs="Times New Roman"/>
        </w:rPr>
        <w:t xml:space="preserve">erai, </w:t>
      </w:r>
      <w:r w:rsidR="00D14623" w:rsidRPr="008601EE">
        <w:rPr>
          <w:rFonts w:ascii="Times New Roman" w:hAnsi="Times New Roman" w:cs="Times New Roman"/>
        </w:rPr>
        <w:t xml:space="preserve">where </w:t>
      </w:r>
      <w:r w:rsidR="005D5FC8" w:rsidRPr="008601EE">
        <w:rPr>
          <w:rFonts w:ascii="Times New Roman" w:hAnsi="Times New Roman" w:cs="Times New Roman"/>
        </w:rPr>
        <w:t xml:space="preserve">only 21% of children were given foods from four or more food groups and 18% met the three recommended IYCF practices, </w:t>
      </w:r>
      <w:r w:rsidR="00782380" w:rsidRPr="008601EE">
        <w:rPr>
          <w:rFonts w:ascii="Times New Roman" w:hAnsi="Times New Roman" w:cs="Times New Roman"/>
        </w:rPr>
        <w:t>c</w:t>
      </w:r>
      <w:r w:rsidR="005D5FC8" w:rsidRPr="008601EE">
        <w:rPr>
          <w:rFonts w:ascii="Times New Roman" w:hAnsi="Times New Roman" w:cs="Times New Roman"/>
        </w:rPr>
        <w:t>ompared to 3</w:t>
      </w:r>
      <w:r w:rsidR="00782380" w:rsidRPr="008601EE">
        <w:rPr>
          <w:rFonts w:ascii="Times New Roman" w:hAnsi="Times New Roman" w:cs="Times New Roman"/>
        </w:rPr>
        <w:t>3</w:t>
      </w:r>
      <w:r w:rsidR="005D5FC8" w:rsidRPr="008601EE">
        <w:rPr>
          <w:rFonts w:ascii="Times New Roman" w:hAnsi="Times New Roman" w:cs="Times New Roman"/>
        </w:rPr>
        <w:t xml:space="preserve"> </w:t>
      </w:r>
      <w:r w:rsidR="00782380" w:rsidRPr="008601EE">
        <w:rPr>
          <w:rFonts w:ascii="Times New Roman" w:hAnsi="Times New Roman" w:cs="Times New Roman"/>
        </w:rPr>
        <w:t>% of</w:t>
      </w:r>
      <w:r w:rsidR="005D5FC8" w:rsidRPr="008601EE">
        <w:rPr>
          <w:rFonts w:ascii="Times New Roman" w:hAnsi="Times New Roman" w:cs="Times New Roman"/>
        </w:rPr>
        <w:t xml:space="preserve"> </w:t>
      </w:r>
      <w:r w:rsidR="00782380" w:rsidRPr="008601EE">
        <w:rPr>
          <w:rFonts w:ascii="Times New Roman" w:hAnsi="Times New Roman" w:cs="Times New Roman"/>
        </w:rPr>
        <w:t>children living</w:t>
      </w:r>
      <w:r w:rsidR="005D5FC8" w:rsidRPr="008601EE">
        <w:rPr>
          <w:rFonts w:ascii="Times New Roman" w:hAnsi="Times New Roman" w:cs="Times New Roman"/>
        </w:rPr>
        <w:t xml:space="preserve"> in the hill zone</w:t>
      </w:r>
      <w:r w:rsidR="00D14623" w:rsidRPr="008601EE">
        <w:rPr>
          <w:rFonts w:ascii="Times New Roman" w:hAnsi="Times New Roman" w:cs="Times New Roman"/>
        </w:rPr>
        <w:t xml:space="preserve"> </w:t>
      </w:r>
      <w:r w:rsidR="005D5FC8" w:rsidRPr="008601EE">
        <w:rPr>
          <w:rFonts w:ascii="Times New Roman" w:hAnsi="Times New Roman" w:cs="Times New Roman"/>
        </w:rPr>
        <w:t xml:space="preserve">(DHS, 2011).  </w:t>
      </w:r>
      <w:r w:rsidR="00D14623" w:rsidRPr="008601EE">
        <w:rPr>
          <w:rFonts w:ascii="Times New Roman" w:hAnsi="Times New Roman" w:cs="Times New Roman"/>
        </w:rPr>
        <w:t xml:space="preserve">It is evident that intensified efforts are needed in Nepal to reduce chronic malnutrition and anemia rates through improved feeding practices. </w:t>
      </w:r>
      <w:r w:rsidR="00811BC7">
        <w:rPr>
          <w:rFonts w:ascii="Times New Roman" w:hAnsi="Times New Roman" w:cs="Times New Roman"/>
        </w:rPr>
        <w:t xml:space="preserve">Efforts </w:t>
      </w:r>
      <w:r w:rsidR="00DC6A9E" w:rsidRPr="008601EE">
        <w:rPr>
          <w:rFonts w:ascii="Times New Roman" w:hAnsi="Times New Roman" w:cs="Times New Roman"/>
        </w:rPr>
        <w:t xml:space="preserve">to </w:t>
      </w:r>
      <w:r w:rsidR="00D14623" w:rsidRPr="008601EE">
        <w:rPr>
          <w:rFonts w:ascii="Times New Roman" w:hAnsi="Times New Roman" w:cs="Times New Roman"/>
        </w:rPr>
        <w:t xml:space="preserve">accelerate </w:t>
      </w:r>
      <w:r w:rsidR="00540395" w:rsidRPr="008601EE">
        <w:rPr>
          <w:rFonts w:ascii="Times New Roman" w:hAnsi="Times New Roman" w:cs="Times New Roman"/>
        </w:rPr>
        <w:t xml:space="preserve">reduction of </w:t>
      </w:r>
      <w:r w:rsidR="00D14623" w:rsidRPr="008601EE">
        <w:rPr>
          <w:rFonts w:ascii="Times New Roman" w:hAnsi="Times New Roman" w:cs="Times New Roman"/>
        </w:rPr>
        <w:t xml:space="preserve">stunting </w:t>
      </w:r>
      <w:r w:rsidR="00540395" w:rsidRPr="008601EE">
        <w:rPr>
          <w:rFonts w:ascii="Times New Roman" w:hAnsi="Times New Roman" w:cs="Times New Roman"/>
        </w:rPr>
        <w:t xml:space="preserve">and anemia </w:t>
      </w:r>
      <w:r w:rsidR="00DC6A9E" w:rsidRPr="008601EE">
        <w:rPr>
          <w:rFonts w:ascii="Times New Roman" w:hAnsi="Times New Roman" w:cs="Times New Roman"/>
        </w:rPr>
        <w:t xml:space="preserve">by scaling up evidence-based interventions, </w:t>
      </w:r>
      <w:r w:rsidR="00811BC7">
        <w:rPr>
          <w:rFonts w:ascii="Times New Roman" w:hAnsi="Times New Roman" w:cs="Times New Roman"/>
        </w:rPr>
        <w:t xml:space="preserve">would need to </w:t>
      </w:r>
      <w:r w:rsidR="00D14623" w:rsidRPr="008601EE">
        <w:rPr>
          <w:rFonts w:ascii="Times New Roman" w:hAnsi="Times New Roman" w:cs="Times New Roman"/>
        </w:rPr>
        <w:t xml:space="preserve">build </w:t>
      </w:r>
      <w:r w:rsidR="00DC6A9E" w:rsidRPr="008601EE">
        <w:rPr>
          <w:rFonts w:ascii="Times New Roman" w:hAnsi="Times New Roman" w:cs="Times New Roman"/>
        </w:rPr>
        <w:t xml:space="preserve">upon </w:t>
      </w:r>
      <w:r w:rsidR="00D14623" w:rsidRPr="008601EE">
        <w:rPr>
          <w:rFonts w:ascii="Times New Roman" w:hAnsi="Times New Roman" w:cs="Times New Roman"/>
        </w:rPr>
        <w:t>s</w:t>
      </w:r>
      <w:r w:rsidR="009D010C" w:rsidRPr="008601EE">
        <w:rPr>
          <w:rFonts w:ascii="Times New Roman" w:hAnsi="Times New Roman" w:cs="Times New Roman"/>
        </w:rPr>
        <w:t xml:space="preserve">uccessful </w:t>
      </w:r>
      <w:r w:rsidR="00811BC7">
        <w:rPr>
          <w:rFonts w:ascii="Times New Roman" w:hAnsi="Times New Roman" w:cs="Times New Roman"/>
        </w:rPr>
        <w:t xml:space="preserve">micronutrient </w:t>
      </w:r>
      <w:r w:rsidR="009D010C" w:rsidRPr="008601EE">
        <w:rPr>
          <w:rFonts w:ascii="Times New Roman" w:hAnsi="Times New Roman" w:cs="Times New Roman"/>
        </w:rPr>
        <w:t>programs in Nepal</w:t>
      </w:r>
      <w:r w:rsidR="00DC6A9E" w:rsidRPr="008601EE">
        <w:rPr>
          <w:rFonts w:ascii="Times New Roman" w:hAnsi="Times New Roman" w:cs="Times New Roman"/>
        </w:rPr>
        <w:t>.  B</w:t>
      </w:r>
      <w:r w:rsidR="009D010C" w:rsidRPr="008601EE">
        <w:rPr>
          <w:rFonts w:ascii="Times New Roman" w:hAnsi="Times New Roman" w:cs="Times New Roman"/>
        </w:rPr>
        <w:t xml:space="preserve">iannual Vitamin A </w:t>
      </w:r>
      <w:r w:rsidR="00DC6A9E" w:rsidRPr="008601EE">
        <w:rPr>
          <w:rFonts w:ascii="Times New Roman" w:hAnsi="Times New Roman" w:cs="Times New Roman"/>
        </w:rPr>
        <w:t xml:space="preserve">supplementation coverage among </w:t>
      </w:r>
      <w:r w:rsidR="009D010C" w:rsidRPr="008601EE">
        <w:rPr>
          <w:rFonts w:ascii="Times New Roman" w:hAnsi="Times New Roman" w:cs="Times New Roman"/>
        </w:rPr>
        <w:t xml:space="preserve">children 6-59 months of age </w:t>
      </w:r>
      <w:r w:rsidR="00DC6A9E" w:rsidRPr="008601EE">
        <w:rPr>
          <w:rFonts w:ascii="Times New Roman" w:hAnsi="Times New Roman" w:cs="Times New Roman"/>
        </w:rPr>
        <w:t xml:space="preserve">was at </w:t>
      </w:r>
      <w:r w:rsidR="00782380" w:rsidRPr="008601EE">
        <w:rPr>
          <w:rFonts w:ascii="Times New Roman" w:hAnsi="Times New Roman" w:cs="Times New Roman"/>
        </w:rPr>
        <w:t>90</w:t>
      </w:r>
      <w:r w:rsidR="009D010C" w:rsidRPr="008601EE">
        <w:rPr>
          <w:rFonts w:ascii="Times New Roman" w:hAnsi="Times New Roman" w:cs="Times New Roman"/>
        </w:rPr>
        <w:t>% in 20</w:t>
      </w:r>
      <w:r w:rsidR="00782380" w:rsidRPr="008601EE">
        <w:rPr>
          <w:rFonts w:ascii="Times New Roman" w:hAnsi="Times New Roman" w:cs="Times New Roman"/>
        </w:rPr>
        <w:t>11</w:t>
      </w:r>
      <w:r w:rsidR="009D010C" w:rsidRPr="008601EE">
        <w:rPr>
          <w:rFonts w:ascii="Times New Roman" w:hAnsi="Times New Roman" w:cs="Times New Roman"/>
        </w:rPr>
        <w:t xml:space="preserve">, </w:t>
      </w:r>
      <w:r w:rsidR="00DC6A9E" w:rsidRPr="008601EE">
        <w:rPr>
          <w:rFonts w:ascii="Times New Roman" w:hAnsi="Times New Roman" w:cs="Times New Roman"/>
        </w:rPr>
        <w:t xml:space="preserve">and </w:t>
      </w:r>
      <w:r w:rsidR="009D010C" w:rsidRPr="008601EE">
        <w:rPr>
          <w:rFonts w:ascii="Times New Roman" w:hAnsi="Times New Roman" w:cs="Times New Roman"/>
        </w:rPr>
        <w:t xml:space="preserve">deworming of children </w:t>
      </w:r>
      <w:r w:rsidR="00DC6A9E" w:rsidRPr="008601EE">
        <w:rPr>
          <w:rFonts w:ascii="Times New Roman" w:hAnsi="Times New Roman" w:cs="Times New Roman"/>
        </w:rPr>
        <w:t xml:space="preserve">12-59 months </w:t>
      </w:r>
      <w:r w:rsidR="009D010C" w:rsidRPr="008601EE">
        <w:rPr>
          <w:rFonts w:ascii="Times New Roman" w:hAnsi="Times New Roman" w:cs="Times New Roman"/>
        </w:rPr>
        <w:t xml:space="preserve">during Vitamin A </w:t>
      </w:r>
      <w:r w:rsidR="00DC6A9E" w:rsidRPr="008601EE">
        <w:rPr>
          <w:rFonts w:ascii="Times New Roman" w:hAnsi="Times New Roman" w:cs="Times New Roman"/>
        </w:rPr>
        <w:t xml:space="preserve">days was at </w:t>
      </w:r>
      <w:r w:rsidR="009D010C" w:rsidRPr="008601EE">
        <w:rPr>
          <w:rFonts w:ascii="Times New Roman" w:hAnsi="Times New Roman" w:cs="Times New Roman"/>
        </w:rPr>
        <w:t>8</w:t>
      </w:r>
      <w:r w:rsidR="00782380" w:rsidRPr="008601EE">
        <w:rPr>
          <w:rFonts w:ascii="Times New Roman" w:hAnsi="Times New Roman" w:cs="Times New Roman"/>
        </w:rPr>
        <w:t>4</w:t>
      </w:r>
      <w:r w:rsidR="009D010C" w:rsidRPr="008601EE">
        <w:rPr>
          <w:rFonts w:ascii="Times New Roman" w:hAnsi="Times New Roman" w:cs="Times New Roman"/>
        </w:rPr>
        <w:t>%</w:t>
      </w:r>
      <w:r w:rsidR="00782380" w:rsidRPr="008601EE">
        <w:rPr>
          <w:rFonts w:ascii="Times New Roman" w:hAnsi="Times New Roman" w:cs="Times New Roman"/>
        </w:rPr>
        <w:t>.</w:t>
      </w:r>
      <w:r w:rsidR="00DC6A9E" w:rsidRPr="008601EE">
        <w:rPr>
          <w:rFonts w:ascii="Times New Roman" w:hAnsi="Times New Roman" w:cs="Times New Roman"/>
        </w:rPr>
        <w:t xml:space="preserve"> </w:t>
      </w:r>
      <w:r w:rsidR="009D010C" w:rsidRPr="008601EE">
        <w:rPr>
          <w:rFonts w:ascii="Times New Roman" w:hAnsi="Times New Roman" w:cs="Times New Roman"/>
        </w:rPr>
        <w:t xml:space="preserve"> </w:t>
      </w:r>
      <w:r w:rsidR="00856CF8" w:rsidRPr="008601EE">
        <w:rPr>
          <w:rFonts w:ascii="Times New Roman" w:hAnsi="Times New Roman" w:cs="Times New Roman"/>
        </w:rPr>
        <w:t xml:space="preserve">Furthermore, </w:t>
      </w:r>
      <w:r w:rsidR="00782380" w:rsidRPr="008601EE">
        <w:rPr>
          <w:rFonts w:ascii="Times New Roman" w:hAnsi="Times New Roman" w:cs="Times New Roman"/>
        </w:rPr>
        <w:t xml:space="preserve">the 2011 NDHS results also show that </w:t>
      </w:r>
      <w:r w:rsidR="00CA71A1">
        <w:rPr>
          <w:rFonts w:ascii="Times New Roman" w:hAnsi="Times New Roman" w:cs="Times New Roman"/>
        </w:rPr>
        <w:t xml:space="preserve">about 80% </w:t>
      </w:r>
      <w:r w:rsidR="00782380" w:rsidRPr="008601EE">
        <w:rPr>
          <w:rFonts w:ascii="Times New Roman" w:hAnsi="Times New Roman" w:cs="Times New Roman"/>
        </w:rPr>
        <w:t xml:space="preserve">of </w:t>
      </w:r>
      <w:r w:rsidR="00CA71A1">
        <w:rPr>
          <w:rFonts w:ascii="Times New Roman" w:hAnsi="Times New Roman" w:cs="Times New Roman"/>
        </w:rPr>
        <w:t xml:space="preserve">the </w:t>
      </w:r>
      <w:r w:rsidR="00782380" w:rsidRPr="008601EE">
        <w:rPr>
          <w:rFonts w:ascii="Times New Roman" w:hAnsi="Times New Roman" w:cs="Times New Roman"/>
        </w:rPr>
        <w:t xml:space="preserve">households are using adequately iodized salt. </w:t>
      </w:r>
    </w:p>
    <w:p w14:paraId="2DB69F2E" w14:textId="77777777" w:rsidR="00683BDF" w:rsidRDefault="00683BDF" w:rsidP="00482A30">
      <w:pPr>
        <w:autoSpaceDE w:val="0"/>
        <w:autoSpaceDN w:val="0"/>
        <w:adjustRightInd w:val="0"/>
        <w:spacing w:after="0"/>
        <w:jc w:val="both"/>
        <w:rPr>
          <w:rFonts w:ascii="Times New Roman" w:hAnsi="Times New Roman" w:cs="Times New Roman"/>
        </w:rPr>
      </w:pPr>
    </w:p>
    <w:p w14:paraId="135B5587" w14:textId="77777777" w:rsidR="009D010C" w:rsidRPr="00CB11A5" w:rsidRDefault="00AD3F73" w:rsidP="009D010C">
      <w:pPr>
        <w:keepNext/>
        <w:widowControl w:val="0"/>
        <w:autoSpaceDE w:val="0"/>
        <w:autoSpaceDN w:val="0"/>
        <w:adjustRightInd w:val="0"/>
        <w:spacing w:before="240" w:after="60"/>
        <w:outlineLvl w:val="1"/>
        <w:rPr>
          <w:rFonts w:ascii="Times New Roman" w:hAnsi="Times New Roman" w:cs="Times New Roman"/>
          <w:b/>
          <w:bCs/>
          <w:i/>
          <w:iCs/>
        </w:rPr>
      </w:pPr>
      <w:bookmarkStart w:id="7" w:name="_Toc248184663"/>
      <w:bookmarkStart w:id="8" w:name="_Toc248184949"/>
      <w:bookmarkStart w:id="9" w:name="_Toc248184986"/>
      <w:bookmarkStart w:id="10" w:name="_Toc248190709"/>
      <w:bookmarkStart w:id="11" w:name="_Toc248190748"/>
      <w:bookmarkStart w:id="12" w:name="_Toc248190786"/>
      <w:bookmarkStart w:id="13" w:name="_Toc249109087"/>
      <w:bookmarkStart w:id="14" w:name="_Toc265757861"/>
      <w:bookmarkStart w:id="15" w:name="_Toc265757919"/>
      <w:r w:rsidRPr="00CB11A5">
        <w:rPr>
          <w:rFonts w:ascii="Times New Roman" w:hAnsi="Times New Roman" w:cs="Times New Roman"/>
          <w:b/>
          <w:bCs/>
          <w:i/>
          <w:iCs/>
        </w:rPr>
        <w:t>Description of the Ongoing Intervention</w:t>
      </w:r>
      <w:r w:rsidR="009D010C" w:rsidRPr="00CB11A5">
        <w:rPr>
          <w:rFonts w:ascii="Times New Roman" w:hAnsi="Times New Roman" w:cs="Times New Roman"/>
          <w:b/>
          <w:bCs/>
          <w:i/>
          <w:iCs/>
        </w:rPr>
        <w:t xml:space="preserve">s </w:t>
      </w:r>
    </w:p>
    <w:p w14:paraId="31ECCBEC" w14:textId="51D4DC58" w:rsidR="009D010C" w:rsidRPr="005D0646" w:rsidRDefault="009D010C" w:rsidP="009D010C">
      <w:pPr>
        <w:keepNext/>
        <w:widowControl w:val="0"/>
        <w:autoSpaceDE w:val="0"/>
        <w:autoSpaceDN w:val="0"/>
        <w:adjustRightInd w:val="0"/>
        <w:spacing w:before="240" w:after="60"/>
        <w:outlineLvl w:val="1"/>
        <w:rPr>
          <w:rFonts w:ascii="Times New Roman" w:hAnsi="Times New Roman" w:cs="Times New Roman"/>
          <w:b/>
          <w:bCs/>
          <w:iCs/>
        </w:rPr>
      </w:pPr>
      <w:r w:rsidRPr="00C002CD">
        <w:rPr>
          <w:rFonts w:ascii="Times New Roman" w:hAnsi="Times New Roman" w:cs="Times New Roman"/>
          <w:b/>
          <w:bCs/>
          <w:iCs/>
        </w:rPr>
        <w:t>Integrated Infant Young Child Feeding and Multiple Micronutrient Powders</w:t>
      </w:r>
      <w:bookmarkEnd w:id="7"/>
      <w:bookmarkEnd w:id="8"/>
      <w:bookmarkEnd w:id="9"/>
      <w:bookmarkEnd w:id="10"/>
      <w:bookmarkEnd w:id="11"/>
      <w:bookmarkEnd w:id="12"/>
      <w:bookmarkEnd w:id="13"/>
      <w:bookmarkEnd w:id="14"/>
      <w:bookmarkEnd w:id="15"/>
      <w:r w:rsidRPr="00C002CD">
        <w:rPr>
          <w:rFonts w:ascii="Times New Roman" w:hAnsi="Times New Roman" w:cs="Times New Roman"/>
          <w:b/>
          <w:bCs/>
          <w:i/>
          <w:iCs/>
        </w:rPr>
        <w:t xml:space="preserve"> </w:t>
      </w:r>
      <w:r w:rsidR="005D0646" w:rsidRPr="005D0646">
        <w:rPr>
          <w:rFonts w:ascii="Times New Roman" w:hAnsi="Times New Roman" w:cs="Times New Roman"/>
          <w:b/>
          <w:bCs/>
          <w:iCs/>
          <w:highlight w:val="yellow"/>
        </w:rPr>
        <w:t>(Change this to be specific to the program and or implementation being conducted).</w:t>
      </w:r>
      <w:r w:rsidR="005D0646" w:rsidRPr="005D0646">
        <w:rPr>
          <w:rFonts w:ascii="Times New Roman" w:hAnsi="Times New Roman" w:cs="Times New Roman"/>
          <w:b/>
          <w:bCs/>
          <w:iCs/>
        </w:rPr>
        <w:t xml:space="preserve"> </w:t>
      </w:r>
    </w:p>
    <w:p w14:paraId="6457F932" w14:textId="454CF0AD" w:rsidR="009D010C" w:rsidRPr="00C002CD" w:rsidRDefault="009D010C" w:rsidP="00482A30">
      <w:pPr>
        <w:tabs>
          <w:tab w:val="left" w:pos="0"/>
          <w:tab w:val="num" w:pos="1137"/>
        </w:tabs>
        <w:autoSpaceDE w:val="0"/>
        <w:autoSpaceDN w:val="0"/>
        <w:adjustRightInd w:val="0"/>
        <w:jc w:val="both"/>
        <w:rPr>
          <w:rFonts w:ascii="Times New Roman" w:hAnsi="Times New Roman" w:cs="Times New Roman"/>
        </w:rPr>
      </w:pPr>
      <w:r w:rsidRPr="00C002CD">
        <w:rPr>
          <w:rFonts w:ascii="Times New Roman" w:hAnsi="Times New Roman" w:cs="Times New Roman"/>
        </w:rPr>
        <w:t xml:space="preserve">As part of the government of Nepal’s efforts to combat malnutrition, the </w:t>
      </w:r>
      <w:r w:rsidR="00856CF8" w:rsidRPr="00C002CD">
        <w:rPr>
          <w:rFonts w:ascii="Times New Roman" w:hAnsi="Times New Roman" w:cs="Times New Roman"/>
        </w:rPr>
        <w:t xml:space="preserve">Multi-sectoral Nutrition </w:t>
      </w:r>
      <w:r w:rsidRPr="00C002CD">
        <w:rPr>
          <w:rFonts w:ascii="Times New Roman" w:hAnsi="Times New Roman" w:cs="Times New Roman"/>
        </w:rPr>
        <w:t xml:space="preserve">Plan </w:t>
      </w:r>
      <w:r w:rsidR="00856CF8" w:rsidRPr="00C002CD">
        <w:rPr>
          <w:rFonts w:ascii="Times New Roman" w:hAnsi="Times New Roman" w:cs="Times New Roman"/>
        </w:rPr>
        <w:t xml:space="preserve">(MSNP) </w:t>
      </w:r>
      <w:r w:rsidRPr="00C002CD">
        <w:rPr>
          <w:rFonts w:ascii="Times New Roman" w:hAnsi="Times New Roman" w:cs="Times New Roman"/>
        </w:rPr>
        <w:t xml:space="preserve">was formulated with two main objectives of reducing </w:t>
      </w:r>
      <w:r w:rsidR="00856CF8" w:rsidRPr="00C002CD">
        <w:rPr>
          <w:rFonts w:ascii="Times New Roman" w:hAnsi="Times New Roman" w:cs="Times New Roman"/>
        </w:rPr>
        <w:t>chronic malnutrition and anemia</w:t>
      </w:r>
      <w:r w:rsidRPr="00C002CD">
        <w:rPr>
          <w:rFonts w:ascii="Times New Roman" w:hAnsi="Times New Roman" w:cs="Times New Roman"/>
        </w:rPr>
        <w:t>. To achieve these objectives the government of Nepal, UNICEF, and other partners are establishing infant and young child feeding (IYCF) &amp; national micronutrient powder</w:t>
      </w:r>
      <w:r w:rsidR="00AD3F73" w:rsidRPr="00C002CD">
        <w:rPr>
          <w:rFonts w:ascii="Times New Roman" w:hAnsi="Times New Roman" w:cs="Times New Roman"/>
        </w:rPr>
        <w:t>s</w:t>
      </w:r>
      <w:r w:rsidRPr="00C002CD">
        <w:rPr>
          <w:rFonts w:ascii="Times New Roman" w:hAnsi="Times New Roman" w:cs="Times New Roman"/>
        </w:rPr>
        <w:t xml:space="preserve"> (MNP</w:t>
      </w:r>
      <w:r w:rsidR="00856CF8" w:rsidRPr="00C002CD">
        <w:rPr>
          <w:rFonts w:ascii="Times New Roman" w:hAnsi="Times New Roman" w:cs="Times New Roman"/>
        </w:rPr>
        <w:t>s</w:t>
      </w:r>
      <w:r w:rsidRPr="00C002CD">
        <w:rPr>
          <w:rFonts w:ascii="Times New Roman" w:hAnsi="Times New Roman" w:cs="Times New Roman"/>
        </w:rPr>
        <w:t xml:space="preserve">) program that </w:t>
      </w:r>
      <w:r w:rsidR="00742360">
        <w:rPr>
          <w:rFonts w:ascii="Times New Roman" w:hAnsi="Times New Roman" w:cs="Times New Roman"/>
        </w:rPr>
        <w:t xml:space="preserve">will </w:t>
      </w:r>
      <w:r w:rsidRPr="00C002CD">
        <w:rPr>
          <w:rFonts w:ascii="Times New Roman" w:hAnsi="Times New Roman" w:cs="Times New Roman"/>
        </w:rPr>
        <w:t xml:space="preserve">promote improved IYCF practices and distribute MNPs to children 6-24 months of age </w:t>
      </w:r>
      <w:r w:rsidR="00742360">
        <w:rPr>
          <w:rFonts w:ascii="Times New Roman" w:hAnsi="Times New Roman" w:cs="Times New Roman"/>
        </w:rPr>
        <w:t xml:space="preserve">eventually </w:t>
      </w:r>
      <w:r w:rsidRPr="00C002CD">
        <w:rPr>
          <w:rFonts w:ascii="Times New Roman" w:hAnsi="Times New Roman" w:cs="Times New Roman"/>
        </w:rPr>
        <w:t xml:space="preserve">in all 75 districts of Nepal.  MNPs have been selected based on evidence establishing their efficacy and cost-effectiveness in several countries throughout the world (WHO 2011; Horton, 2008).  MNPs have been locally branded as Baal Vita.  When brought to national scale, in Nepal all children 6-24 months will receive 60 sachets of Baal Vita twice a year (total of 120 sachets per child per year).  Messages and </w:t>
      </w:r>
      <w:r w:rsidR="00856CF8" w:rsidRPr="00C002CD">
        <w:rPr>
          <w:rFonts w:ascii="Times New Roman" w:hAnsi="Times New Roman" w:cs="Times New Roman"/>
        </w:rPr>
        <w:t>counselling</w:t>
      </w:r>
      <w:r w:rsidRPr="00C002CD">
        <w:rPr>
          <w:rFonts w:ascii="Times New Roman" w:hAnsi="Times New Roman" w:cs="Times New Roman"/>
        </w:rPr>
        <w:t xml:space="preserve"> for improving IYCF practices will be promoted during MNP</w:t>
      </w:r>
      <w:r w:rsidR="00AD3F73" w:rsidRPr="00C002CD">
        <w:rPr>
          <w:rFonts w:ascii="Times New Roman" w:hAnsi="Times New Roman" w:cs="Times New Roman"/>
        </w:rPr>
        <w:t>s</w:t>
      </w:r>
      <w:r w:rsidRPr="00C002CD">
        <w:rPr>
          <w:rFonts w:ascii="Times New Roman" w:hAnsi="Times New Roman" w:cs="Times New Roman"/>
        </w:rPr>
        <w:t xml:space="preserve"> distribution.  </w:t>
      </w:r>
      <w:r w:rsidR="0081775F" w:rsidRPr="00C002CD">
        <w:rPr>
          <w:rFonts w:ascii="Times New Roman" w:hAnsi="Times New Roman" w:cs="Times New Roman"/>
        </w:rPr>
        <w:t>The recent pilot</w:t>
      </w:r>
      <w:r w:rsidR="00AD3F73" w:rsidRPr="00C002CD">
        <w:rPr>
          <w:rFonts w:ascii="Times New Roman" w:hAnsi="Times New Roman" w:cs="Times New Roman"/>
        </w:rPr>
        <w:t xml:space="preserve"> </w:t>
      </w:r>
      <w:r w:rsidR="0081775F" w:rsidRPr="00C002CD">
        <w:rPr>
          <w:rFonts w:ascii="Times New Roman" w:hAnsi="Times New Roman" w:cs="Times New Roman"/>
        </w:rPr>
        <w:t>o</w:t>
      </w:r>
      <w:r w:rsidR="00AD3F73" w:rsidRPr="00C002CD">
        <w:rPr>
          <w:rFonts w:ascii="Times New Roman" w:hAnsi="Times New Roman" w:cs="Times New Roman"/>
        </w:rPr>
        <w:t>n</w:t>
      </w:r>
      <w:r w:rsidR="0081775F" w:rsidRPr="00C002CD">
        <w:rPr>
          <w:rFonts w:ascii="Times New Roman" w:hAnsi="Times New Roman" w:cs="Times New Roman"/>
        </w:rPr>
        <w:t xml:space="preserve"> the MNP</w:t>
      </w:r>
      <w:r w:rsidR="00AD3F73" w:rsidRPr="00C002CD">
        <w:rPr>
          <w:rFonts w:ascii="Times New Roman" w:hAnsi="Times New Roman" w:cs="Times New Roman"/>
        </w:rPr>
        <w:t>s</w:t>
      </w:r>
      <w:r w:rsidR="0081775F" w:rsidRPr="00C002CD">
        <w:rPr>
          <w:rFonts w:ascii="Times New Roman" w:hAnsi="Times New Roman" w:cs="Times New Roman"/>
        </w:rPr>
        <w:t xml:space="preserve"> integrated with IYCF programs tested three major </w:t>
      </w:r>
      <w:r w:rsidRPr="00C002CD">
        <w:rPr>
          <w:rFonts w:ascii="Times New Roman" w:hAnsi="Times New Roman" w:cs="Times New Roman"/>
        </w:rPr>
        <w:t>distribution approaches two in rural areas and one in urban areas (municipalities)</w:t>
      </w:r>
      <w:r w:rsidR="00AD3F73" w:rsidRPr="00C002CD">
        <w:rPr>
          <w:rFonts w:ascii="Times New Roman" w:hAnsi="Times New Roman" w:cs="Times New Roman"/>
        </w:rPr>
        <w:t>.  These included</w:t>
      </w:r>
      <w:r w:rsidRPr="00C002CD">
        <w:rPr>
          <w:rFonts w:ascii="Times New Roman" w:hAnsi="Times New Roman" w:cs="Times New Roman"/>
        </w:rPr>
        <w:t xml:space="preserve">: </w:t>
      </w:r>
      <w:r w:rsidR="00AD3F73" w:rsidRPr="00C002CD">
        <w:rPr>
          <w:rFonts w:ascii="Times New Roman" w:hAnsi="Times New Roman" w:cs="Times New Roman"/>
        </w:rPr>
        <w:t>(</w:t>
      </w:r>
      <w:r w:rsidRPr="00C002CD">
        <w:rPr>
          <w:rFonts w:ascii="Times New Roman" w:hAnsi="Times New Roman" w:cs="Times New Roman"/>
        </w:rPr>
        <w:t xml:space="preserve">1) Rural - routine distribution through health facilities with Female Community Health Volunteers (FHCV) </w:t>
      </w:r>
      <w:r w:rsidR="0081775F" w:rsidRPr="00C002CD">
        <w:rPr>
          <w:rFonts w:ascii="Times New Roman" w:hAnsi="Times New Roman" w:cs="Times New Roman"/>
        </w:rPr>
        <w:t>counselling</w:t>
      </w:r>
      <w:r w:rsidRPr="00C002CD">
        <w:rPr>
          <w:rFonts w:ascii="Times New Roman" w:hAnsi="Times New Roman" w:cs="Times New Roman"/>
        </w:rPr>
        <w:t xml:space="preserve"> mothers in the community; 2) Rural - routine distribution through FCHV; and 3) Urban - distribution through </w:t>
      </w:r>
      <w:r w:rsidR="0081775F" w:rsidRPr="00C002CD">
        <w:rPr>
          <w:rFonts w:ascii="Times New Roman" w:hAnsi="Times New Roman" w:cs="Times New Roman"/>
        </w:rPr>
        <w:t xml:space="preserve">FCHVs from the </w:t>
      </w:r>
      <w:r w:rsidRPr="00C002CD">
        <w:rPr>
          <w:rFonts w:ascii="Times New Roman" w:hAnsi="Times New Roman" w:cs="Times New Roman"/>
        </w:rPr>
        <w:t xml:space="preserve">ward offices in the municipality and health facilities that may be present.  </w:t>
      </w:r>
    </w:p>
    <w:p w14:paraId="1DFFD28D" w14:textId="39BA264C" w:rsidR="009D010C" w:rsidRPr="00C002CD" w:rsidRDefault="009D010C" w:rsidP="00482A30">
      <w:pPr>
        <w:tabs>
          <w:tab w:val="left" w:pos="0"/>
          <w:tab w:val="num" w:pos="1857"/>
        </w:tabs>
        <w:autoSpaceDE w:val="0"/>
        <w:autoSpaceDN w:val="0"/>
        <w:adjustRightInd w:val="0"/>
        <w:jc w:val="both"/>
        <w:rPr>
          <w:rFonts w:ascii="Times New Roman" w:hAnsi="Times New Roman" w:cs="Times New Roman"/>
        </w:rPr>
      </w:pPr>
      <w:r w:rsidRPr="00C002CD">
        <w:rPr>
          <w:rFonts w:ascii="Times New Roman" w:hAnsi="Times New Roman" w:cs="Times New Roman"/>
        </w:rPr>
        <w:lastRenderedPageBreak/>
        <w:t xml:space="preserve">The </w:t>
      </w:r>
      <w:r w:rsidR="00AD3F73" w:rsidRPr="00C002CD">
        <w:rPr>
          <w:rFonts w:ascii="Times New Roman" w:hAnsi="Times New Roman" w:cs="Times New Roman"/>
        </w:rPr>
        <w:t xml:space="preserve">three </w:t>
      </w:r>
      <w:r w:rsidRPr="00C002CD">
        <w:rPr>
          <w:rFonts w:ascii="Times New Roman" w:hAnsi="Times New Roman" w:cs="Times New Roman"/>
        </w:rPr>
        <w:t xml:space="preserve">phases </w:t>
      </w:r>
      <w:r w:rsidR="00AD3F73" w:rsidRPr="00C002CD">
        <w:rPr>
          <w:rFonts w:ascii="Times New Roman" w:hAnsi="Times New Roman" w:cs="Times New Roman"/>
        </w:rPr>
        <w:t xml:space="preserve">of </w:t>
      </w:r>
      <w:r w:rsidRPr="00C002CD">
        <w:rPr>
          <w:rFonts w:ascii="Times New Roman" w:hAnsi="Times New Roman" w:cs="Times New Roman"/>
        </w:rPr>
        <w:t>implementation include:</w:t>
      </w:r>
      <w:r w:rsidR="00AD3F73" w:rsidRPr="00C002CD">
        <w:rPr>
          <w:rFonts w:ascii="Times New Roman" w:hAnsi="Times New Roman" w:cs="Times New Roman"/>
        </w:rPr>
        <w:t xml:space="preserve"> (</w:t>
      </w:r>
      <w:r w:rsidRPr="00C002CD">
        <w:rPr>
          <w:rFonts w:ascii="Times New Roman" w:hAnsi="Times New Roman" w:cs="Times New Roman"/>
        </w:rPr>
        <w:t>1</w:t>
      </w:r>
      <w:r w:rsidR="00AD3F73" w:rsidRPr="00C002CD">
        <w:rPr>
          <w:rFonts w:ascii="Times New Roman" w:hAnsi="Times New Roman" w:cs="Times New Roman"/>
        </w:rPr>
        <w:t>)</w:t>
      </w:r>
      <w:r w:rsidRPr="00C002CD">
        <w:rPr>
          <w:rFonts w:ascii="Times New Roman" w:hAnsi="Times New Roman" w:cs="Times New Roman"/>
        </w:rPr>
        <w:t xml:space="preserve"> Feasibility study of IYCF promotion and Baal Vita distribution in 4 Village Development Communities (VDC) in </w:t>
      </w:r>
      <w:r w:rsidR="00AD3F73" w:rsidRPr="00C002CD">
        <w:rPr>
          <w:rFonts w:ascii="Times New Roman" w:hAnsi="Times New Roman" w:cs="Times New Roman"/>
        </w:rPr>
        <w:t>Makwanpur and Parsa (completed); (</w:t>
      </w:r>
      <w:r w:rsidRPr="00C002CD">
        <w:rPr>
          <w:rFonts w:ascii="Times New Roman" w:hAnsi="Times New Roman" w:cs="Times New Roman"/>
        </w:rPr>
        <w:t>2</w:t>
      </w:r>
      <w:r w:rsidR="00AD3F73" w:rsidRPr="00C002CD">
        <w:rPr>
          <w:rFonts w:ascii="Times New Roman" w:hAnsi="Times New Roman" w:cs="Times New Roman"/>
        </w:rPr>
        <w:t>)</w:t>
      </w:r>
      <w:r w:rsidRPr="00C002CD">
        <w:rPr>
          <w:rFonts w:ascii="Times New Roman" w:hAnsi="Times New Roman" w:cs="Times New Roman"/>
        </w:rPr>
        <w:t xml:space="preserve"> Evaluation of </w:t>
      </w:r>
      <w:r w:rsidR="00AD3F73" w:rsidRPr="00C002CD">
        <w:rPr>
          <w:rFonts w:ascii="Times New Roman" w:hAnsi="Times New Roman" w:cs="Times New Roman"/>
        </w:rPr>
        <w:t xml:space="preserve">the above three </w:t>
      </w:r>
      <w:r w:rsidRPr="00C002CD">
        <w:rPr>
          <w:rFonts w:ascii="Times New Roman" w:hAnsi="Times New Roman" w:cs="Times New Roman"/>
        </w:rPr>
        <w:t>potential distribution models</w:t>
      </w:r>
      <w:r w:rsidR="007F4FE4" w:rsidRPr="00C002CD">
        <w:rPr>
          <w:rFonts w:ascii="Times New Roman" w:hAnsi="Times New Roman" w:cs="Times New Roman"/>
        </w:rPr>
        <w:t xml:space="preserve"> (completed)</w:t>
      </w:r>
      <w:r w:rsidR="00AD3F73" w:rsidRPr="00C002CD">
        <w:rPr>
          <w:rFonts w:ascii="Times New Roman" w:hAnsi="Times New Roman" w:cs="Times New Roman"/>
        </w:rPr>
        <w:t xml:space="preserve">; and (3) </w:t>
      </w:r>
      <w:r w:rsidRPr="00C002CD">
        <w:rPr>
          <w:rFonts w:ascii="Times New Roman" w:hAnsi="Times New Roman" w:cs="Times New Roman"/>
        </w:rPr>
        <w:t>Scale up of National IYCF and MNP Program in all 75 districts</w:t>
      </w:r>
      <w:r w:rsidR="00AD3F73" w:rsidRPr="00C002CD">
        <w:rPr>
          <w:rFonts w:ascii="Times New Roman" w:hAnsi="Times New Roman" w:cs="Times New Roman"/>
        </w:rPr>
        <w:t xml:space="preserve">.  The first two phases have been completed successfully and the third is </w:t>
      </w:r>
      <w:r w:rsidRPr="00C002CD">
        <w:rPr>
          <w:rFonts w:ascii="Times New Roman" w:hAnsi="Times New Roman" w:cs="Times New Roman"/>
        </w:rPr>
        <w:t xml:space="preserve">starting in 2012.  </w:t>
      </w:r>
      <w:r w:rsidR="00482A30" w:rsidRPr="00C002CD">
        <w:rPr>
          <w:rFonts w:ascii="Times New Roman" w:hAnsi="Times New Roman" w:cs="Times New Roman"/>
        </w:rPr>
        <w:t xml:space="preserve">The use </w:t>
      </w:r>
      <w:r w:rsidR="00742360">
        <w:rPr>
          <w:rFonts w:ascii="Times New Roman" w:hAnsi="Times New Roman" w:cs="Times New Roman"/>
        </w:rPr>
        <w:t xml:space="preserve">of </w:t>
      </w:r>
      <w:r w:rsidR="00482A30" w:rsidRPr="00C002CD">
        <w:rPr>
          <w:rFonts w:ascii="Times New Roman" w:hAnsi="Times New Roman" w:cs="Times New Roman"/>
        </w:rPr>
        <w:t xml:space="preserve">a mixed distribution modality of IYCF-MNP program through FCHVs as well as Health Facilities and Ward offices has been recommended by the evaluation of the pilot phase. </w:t>
      </w:r>
      <w:r w:rsidR="00742360">
        <w:rPr>
          <w:rFonts w:ascii="Times New Roman" w:hAnsi="Times New Roman" w:cs="Times New Roman"/>
        </w:rPr>
        <w:t xml:space="preserve"> The Program is being implemented in 15 districts and the </w:t>
      </w:r>
      <w:r w:rsidR="004A7897" w:rsidRPr="00C002CD">
        <w:rPr>
          <w:rFonts w:ascii="Times New Roman" w:hAnsi="Times New Roman" w:cs="Times New Roman"/>
        </w:rPr>
        <w:t xml:space="preserve">IYCF/MNPs impact evaluation </w:t>
      </w:r>
      <w:r w:rsidR="00DC08C4">
        <w:rPr>
          <w:rFonts w:ascii="Times New Roman" w:hAnsi="Times New Roman" w:cs="Times New Roman"/>
        </w:rPr>
        <w:t>follow-up survey</w:t>
      </w:r>
      <w:r w:rsidR="00DC08C4" w:rsidRPr="00C002CD">
        <w:rPr>
          <w:rFonts w:ascii="Times New Roman" w:hAnsi="Times New Roman" w:cs="Times New Roman"/>
        </w:rPr>
        <w:t xml:space="preserve"> </w:t>
      </w:r>
      <w:r w:rsidR="004A7897" w:rsidRPr="00C002CD">
        <w:rPr>
          <w:rFonts w:ascii="Times New Roman" w:hAnsi="Times New Roman" w:cs="Times New Roman"/>
        </w:rPr>
        <w:t xml:space="preserve">will serve as an input </w:t>
      </w:r>
      <w:r w:rsidR="00742360">
        <w:rPr>
          <w:rFonts w:ascii="Times New Roman" w:hAnsi="Times New Roman" w:cs="Times New Roman"/>
        </w:rPr>
        <w:t>into</w:t>
      </w:r>
      <w:r w:rsidR="004A7897" w:rsidRPr="00C002CD">
        <w:rPr>
          <w:rFonts w:ascii="Times New Roman" w:hAnsi="Times New Roman" w:cs="Times New Roman"/>
        </w:rPr>
        <w:t xml:space="preserve"> the policy decisions</w:t>
      </w:r>
      <w:r w:rsidR="00482A30" w:rsidRPr="00C002CD">
        <w:rPr>
          <w:rFonts w:ascii="Times New Roman" w:hAnsi="Times New Roman" w:cs="Times New Roman"/>
        </w:rPr>
        <w:t xml:space="preserve"> </w:t>
      </w:r>
      <w:r w:rsidR="004A7897" w:rsidRPr="00C002CD">
        <w:rPr>
          <w:rFonts w:ascii="Times New Roman" w:hAnsi="Times New Roman" w:cs="Times New Roman"/>
        </w:rPr>
        <w:t>for further scaling up of this intervention</w:t>
      </w:r>
      <w:r w:rsidR="004216E0">
        <w:rPr>
          <w:rFonts w:ascii="Times New Roman" w:hAnsi="Times New Roman" w:cs="Times New Roman"/>
        </w:rPr>
        <w:t xml:space="preserve"> </w:t>
      </w:r>
      <w:r w:rsidR="00742360">
        <w:rPr>
          <w:rFonts w:ascii="Times New Roman" w:hAnsi="Times New Roman" w:cs="Times New Roman"/>
        </w:rPr>
        <w:t>to all 75 districts</w:t>
      </w:r>
      <w:r w:rsidR="00482A30" w:rsidRPr="00C002CD">
        <w:rPr>
          <w:rFonts w:ascii="Times New Roman" w:hAnsi="Times New Roman" w:cs="Times New Roman"/>
        </w:rPr>
        <w:t xml:space="preserve">.  </w:t>
      </w:r>
    </w:p>
    <w:p w14:paraId="7A3D2776" w14:textId="77777777" w:rsidR="009D010C" w:rsidRPr="00C002CD" w:rsidRDefault="00540395" w:rsidP="009D010C">
      <w:pPr>
        <w:tabs>
          <w:tab w:val="left" w:pos="0"/>
          <w:tab w:val="num" w:pos="1137"/>
        </w:tabs>
        <w:autoSpaceDE w:val="0"/>
        <w:autoSpaceDN w:val="0"/>
        <w:adjustRightInd w:val="0"/>
        <w:rPr>
          <w:rFonts w:ascii="Times New Roman" w:hAnsi="Times New Roman" w:cs="Times New Roman"/>
        </w:rPr>
      </w:pPr>
      <w:r w:rsidRPr="004216E0">
        <w:rPr>
          <w:rFonts w:ascii="Times New Roman" w:hAnsi="Times New Roman" w:cs="Times New Roman"/>
          <w:noProof/>
          <w:lang w:val="en-US"/>
        </w:rPr>
        <w:drawing>
          <wp:anchor distT="0" distB="0" distL="114300" distR="114300" simplePos="0" relativeHeight="251659264" behindDoc="0" locked="0" layoutInCell="1" allowOverlap="1" wp14:anchorId="60DA1FBA" wp14:editId="2B000B66">
            <wp:simplePos x="0" y="0"/>
            <wp:positionH relativeFrom="column">
              <wp:posOffset>2724150</wp:posOffset>
            </wp:positionH>
            <wp:positionV relativeFrom="paragraph">
              <wp:posOffset>293369</wp:posOffset>
            </wp:positionV>
            <wp:extent cx="1676400" cy="2001749"/>
            <wp:effectExtent l="19050" t="19050" r="19050" b="17780"/>
            <wp:wrapNone/>
            <wp:docPr id="1" name="Picture 1" descr="C:\Users\P-Lion\Desktop\Nepal\Naveen\bal-vit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C:\Users\P-Lion\Desktop\Nepal\Naveen\bal-vita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591" cy="2004366"/>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009D010C" w:rsidRPr="00C002CD">
        <w:rPr>
          <w:rFonts w:ascii="Times New Roman" w:hAnsi="Times New Roman" w:cs="Times New Roman"/>
        </w:rPr>
        <w:t>The 15- micronutrient formulation of Baal Vita per sachet and local image are as follows:</w:t>
      </w:r>
    </w:p>
    <w:p w14:paraId="171FDB92"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s-MX"/>
        </w:rPr>
      </w:pPr>
      <w:r w:rsidRPr="004216E0">
        <w:rPr>
          <w:rFonts w:ascii="Times New Roman" w:hAnsi="Times New Roman" w:cs="Times New Roman"/>
          <w:lang w:val="es-MX"/>
        </w:rPr>
        <w:t xml:space="preserve">Vitamin A (Retinol)     </w:t>
      </w:r>
      <w:r w:rsidRPr="004216E0">
        <w:rPr>
          <w:rFonts w:ascii="Times New Roman" w:hAnsi="Times New Roman" w:cs="Times New Roman"/>
          <w:lang w:val="es-MX"/>
        </w:rPr>
        <w:tab/>
        <w:t>400 µg</w:t>
      </w:r>
    </w:p>
    <w:p w14:paraId="3C3733B3"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s-ES"/>
        </w:rPr>
      </w:pPr>
      <w:r w:rsidRPr="004216E0">
        <w:rPr>
          <w:rFonts w:ascii="Times New Roman" w:hAnsi="Times New Roman" w:cs="Times New Roman"/>
          <w:lang w:val="es-ES"/>
        </w:rPr>
        <w:t xml:space="preserve">Vitamin C               </w:t>
      </w:r>
      <w:r w:rsidRPr="004216E0">
        <w:rPr>
          <w:rFonts w:ascii="Times New Roman" w:hAnsi="Times New Roman" w:cs="Times New Roman"/>
          <w:lang w:val="es-ES"/>
        </w:rPr>
        <w:tab/>
      </w:r>
      <w:r w:rsidRPr="004216E0">
        <w:rPr>
          <w:rFonts w:ascii="Times New Roman" w:hAnsi="Times New Roman" w:cs="Times New Roman"/>
          <w:lang w:val="es-ES"/>
        </w:rPr>
        <w:tab/>
        <w:t>30 mg</w:t>
      </w:r>
    </w:p>
    <w:p w14:paraId="2CC734B1"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s-ES"/>
        </w:rPr>
      </w:pPr>
      <w:r w:rsidRPr="004216E0">
        <w:rPr>
          <w:rFonts w:ascii="Times New Roman" w:hAnsi="Times New Roman" w:cs="Times New Roman"/>
          <w:lang w:val="es-ES"/>
        </w:rPr>
        <w:t xml:space="preserve">Vitamin D               </w:t>
      </w:r>
      <w:r w:rsidRPr="004216E0">
        <w:rPr>
          <w:rFonts w:ascii="Times New Roman" w:hAnsi="Times New Roman" w:cs="Times New Roman"/>
          <w:lang w:val="es-ES"/>
        </w:rPr>
        <w:tab/>
      </w:r>
      <w:r w:rsidRPr="004216E0">
        <w:rPr>
          <w:rFonts w:ascii="Times New Roman" w:hAnsi="Times New Roman" w:cs="Times New Roman"/>
          <w:lang w:val="es-ES"/>
        </w:rPr>
        <w:tab/>
        <w:t>5 µg</w:t>
      </w:r>
    </w:p>
    <w:p w14:paraId="713D3BE5"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s-ES"/>
        </w:rPr>
      </w:pPr>
      <w:r w:rsidRPr="004216E0">
        <w:rPr>
          <w:rFonts w:ascii="Times New Roman" w:hAnsi="Times New Roman" w:cs="Times New Roman"/>
          <w:lang w:val="es-ES"/>
        </w:rPr>
        <w:t xml:space="preserve">Vitamin E               </w:t>
      </w:r>
      <w:r w:rsidRPr="004216E0">
        <w:rPr>
          <w:rFonts w:ascii="Times New Roman" w:hAnsi="Times New Roman" w:cs="Times New Roman"/>
          <w:lang w:val="es-ES"/>
        </w:rPr>
        <w:tab/>
      </w:r>
      <w:r w:rsidRPr="004216E0">
        <w:rPr>
          <w:rFonts w:ascii="Times New Roman" w:hAnsi="Times New Roman" w:cs="Times New Roman"/>
          <w:lang w:val="es-ES"/>
        </w:rPr>
        <w:tab/>
        <w:t>5 mg</w:t>
      </w:r>
    </w:p>
    <w:p w14:paraId="552FB8FA" w14:textId="77777777" w:rsidR="009D010C" w:rsidRPr="004216E0" w:rsidRDefault="0081775F" w:rsidP="0081775F">
      <w:pPr>
        <w:tabs>
          <w:tab w:val="left" w:pos="0"/>
          <w:tab w:val="num" w:pos="1137"/>
        </w:tabs>
        <w:autoSpaceDE w:val="0"/>
        <w:autoSpaceDN w:val="0"/>
        <w:adjustRightInd w:val="0"/>
        <w:spacing w:after="0"/>
        <w:rPr>
          <w:rFonts w:ascii="Times New Roman" w:hAnsi="Times New Roman" w:cs="Times New Roman"/>
          <w:lang w:val="en-US"/>
        </w:rPr>
      </w:pPr>
      <w:r w:rsidRPr="004216E0">
        <w:rPr>
          <w:rFonts w:ascii="Times New Roman" w:hAnsi="Times New Roman" w:cs="Times New Roman"/>
          <w:lang w:val="en-US"/>
        </w:rPr>
        <w:t xml:space="preserve">Vitamin (B1)           </w:t>
      </w:r>
      <w:r w:rsidRPr="004216E0">
        <w:rPr>
          <w:rFonts w:ascii="Times New Roman" w:hAnsi="Times New Roman" w:cs="Times New Roman"/>
          <w:lang w:val="en-US"/>
        </w:rPr>
        <w:tab/>
      </w:r>
      <w:r w:rsidR="00540395" w:rsidRPr="004216E0">
        <w:rPr>
          <w:rFonts w:ascii="Times New Roman" w:hAnsi="Times New Roman" w:cs="Times New Roman"/>
          <w:lang w:val="en-US"/>
        </w:rPr>
        <w:tab/>
      </w:r>
      <w:r w:rsidR="009D010C" w:rsidRPr="004216E0">
        <w:rPr>
          <w:rFonts w:ascii="Times New Roman" w:hAnsi="Times New Roman" w:cs="Times New Roman"/>
          <w:lang w:val="en-US"/>
        </w:rPr>
        <w:t>0.5 mg</w:t>
      </w:r>
    </w:p>
    <w:p w14:paraId="22D8212B" w14:textId="77777777" w:rsidR="009D010C" w:rsidRPr="004216E0" w:rsidRDefault="0081775F" w:rsidP="0081775F">
      <w:pPr>
        <w:tabs>
          <w:tab w:val="left" w:pos="0"/>
          <w:tab w:val="num" w:pos="1137"/>
        </w:tabs>
        <w:autoSpaceDE w:val="0"/>
        <w:autoSpaceDN w:val="0"/>
        <w:adjustRightInd w:val="0"/>
        <w:spacing w:after="0"/>
        <w:rPr>
          <w:rFonts w:ascii="Times New Roman" w:hAnsi="Times New Roman" w:cs="Times New Roman"/>
          <w:lang w:val="en-US"/>
        </w:rPr>
      </w:pPr>
      <w:r w:rsidRPr="004216E0">
        <w:rPr>
          <w:rFonts w:ascii="Times New Roman" w:hAnsi="Times New Roman" w:cs="Times New Roman"/>
          <w:lang w:val="en-US"/>
        </w:rPr>
        <w:t xml:space="preserve">Riboflavin (B2)         </w:t>
      </w:r>
      <w:r w:rsidRPr="004216E0">
        <w:rPr>
          <w:rFonts w:ascii="Times New Roman" w:hAnsi="Times New Roman" w:cs="Times New Roman"/>
          <w:lang w:val="en-US"/>
        </w:rPr>
        <w:tab/>
      </w:r>
      <w:r w:rsidR="00540395" w:rsidRPr="004216E0">
        <w:rPr>
          <w:rFonts w:ascii="Times New Roman" w:hAnsi="Times New Roman" w:cs="Times New Roman"/>
          <w:lang w:val="en-US"/>
        </w:rPr>
        <w:tab/>
      </w:r>
      <w:r w:rsidRPr="004216E0">
        <w:rPr>
          <w:rFonts w:ascii="Times New Roman" w:hAnsi="Times New Roman" w:cs="Times New Roman"/>
          <w:lang w:val="en-US"/>
        </w:rPr>
        <w:t>0.5</w:t>
      </w:r>
      <w:r w:rsidR="009D010C" w:rsidRPr="004216E0">
        <w:rPr>
          <w:rFonts w:ascii="Times New Roman" w:hAnsi="Times New Roman" w:cs="Times New Roman"/>
          <w:lang w:val="en-US"/>
        </w:rPr>
        <w:t xml:space="preserve"> mg</w:t>
      </w:r>
    </w:p>
    <w:p w14:paraId="587D39FF"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n-US"/>
        </w:rPr>
      </w:pPr>
      <w:r w:rsidRPr="004216E0">
        <w:rPr>
          <w:rFonts w:ascii="Times New Roman" w:hAnsi="Times New Roman" w:cs="Times New Roman"/>
          <w:lang w:val="en-US"/>
        </w:rPr>
        <w:t xml:space="preserve">Niacin (B3)             </w:t>
      </w:r>
      <w:r w:rsidRPr="004216E0">
        <w:rPr>
          <w:rFonts w:ascii="Times New Roman" w:hAnsi="Times New Roman" w:cs="Times New Roman"/>
          <w:lang w:val="en-US"/>
        </w:rPr>
        <w:tab/>
      </w:r>
      <w:r w:rsidRPr="004216E0">
        <w:rPr>
          <w:rFonts w:ascii="Times New Roman" w:hAnsi="Times New Roman" w:cs="Times New Roman"/>
          <w:lang w:val="en-US"/>
        </w:rPr>
        <w:tab/>
        <w:t>6 mg</w:t>
      </w:r>
    </w:p>
    <w:p w14:paraId="5726E17F"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n-US"/>
        </w:rPr>
      </w:pPr>
      <w:r w:rsidRPr="004216E0">
        <w:rPr>
          <w:rFonts w:ascii="Times New Roman" w:hAnsi="Times New Roman" w:cs="Times New Roman"/>
          <w:lang w:val="en-US"/>
        </w:rPr>
        <w:t xml:space="preserve">Pyridoxine (B6)     </w:t>
      </w:r>
      <w:r w:rsidR="00482A30" w:rsidRPr="004216E0">
        <w:rPr>
          <w:rFonts w:ascii="Times New Roman" w:hAnsi="Times New Roman" w:cs="Times New Roman"/>
          <w:lang w:val="en-US"/>
        </w:rPr>
        <w:tab/>
      </w:r>
      <w:r w:rsidRPr="004216E0">
        <w:rPr>
          <w:rFonts w:ascii="Times New Roman" w:hAnsi="Times New Roman" w:cs="Times New Roman"/>
          <w:lang w:val="en-US"/>
        </w:rPr>
        <w:tab/>
        <w:t>0.5. mg</w:t>
      </w:r>
    </w:p>
    <w:p w14:paraId="09A5BAA1"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lang w:val="en-US"/>
        </w:rPr>
      </w:pPr>
      <w:r w:rsidRPr="004216E0">
        <w:rPr>
          <w:rFonts w:ascii="Times New Roman" w:hAnsi="Times New Roman" w:cs="Times New Roman"/>
          <w:lang w:val="en-US"/>
        </w:rPr>
        <w:t xml:space="preserve">Cyanocobalamin (B12)    </w:t>
      </w:r>
      <w:r w:rsidRPr="004216E0">
        <w:rPr>
          <w:rFonts w:ascii="Times New Roman" w:hAnsi="Times New Roman" w:cs="Times New Roman"/>
          <w:lang w:val="en-US"/>
        </w:rPr>
        <w:tab/>
        <w:t>0.9 µg</w:t>
      </w:r>
    </w:p>
    <w:p w14:paraId="35F55EC6"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lang w:val="en-US"/>
        </w:rPr>
        <w:t>F</w:t>
      </w:r>
      <w:r w:rsidRPr="004216E0">
        <w:rPr>
          <w:rFonts w:ascii="Times New Roman" w:hAnsi="Times New Roman" w:cs="Times New Roman"/>
        </w:rPr>
        <w:t xml:space="preserve">olic Acid              </w:t>
      </w:r>
      <w:r w:rsidRPr="004216E0">
        <w:rPr>
          <w:rFonts w:ascii="Times New Roman" w:hAnsi="Times New Roman" w:cs="Times New Roman"/>
        </w:rPr>
        <w:tab/>
      </w:r>
      <w:r w:rsidRPr="004216E0">
        <w:rPr>
          <w:rFonts w:ascii="Times New Roman" w:hAnsi="Times New Roman" w:cs="Times New Roman"/>
        </w:rPr>
        <w:tab/>
        <w:t>150 µg</w:t>
      </w:r>
      <w:r w:rsidR="008574EF" w:rsidRPr="004216E0">
        <w:rPr>
          <w:rFonts w:ascii="Times New Roman" w:hAnsi="Times New Roman" w:cs="Times New Roman"/>
        </w:rPr>
        <w:t xml:space="preserve"> (later revised to 90 </w:t>
      </w:r>
      <w:r w:rsidR="008574EF" w:rsidRPr="004216E0">
        <w:rPr>
          <w:rFonts w:ascii="Times New Roman" w:hAnsi="Times New Roman" w:cs="Times New Roman"/>
          <w:lang w:val="en-US"/>
        </w:rPr>
        <w:t>µg)</w:t>
      </w:r>
    </w:p>
    <w:p w14:paraId="214192D2"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rPr>
        <w:t xml:space="preserve">Iron                   </w:t>
      </w:r>
      <w:r w:rsidRPr="004216E0">
        <w:rPr>
          <w:rFonts w:ascii="Times New Roman" w:hAnsi="Times New Roman" w:cs="Times New Roman"/>
        </w:rPr>
        <w:tab/>
      </w:r>
      <w:r w:rsidRPr="004216E0">
        <w:rPr>
          <w:rFonts w:ascii="Times New Roman" w:hAnsi="Times New Roman" w:cs="Times New Roman"/>
        </w:rPr>
        <w:tab/>
      </w:r>
      <w:r w:rsidR="00540395" w:rsidRPr="004216E0">
        <w:rPr>
          <w:rFonts w:ascii="Times New Roman" w:hAnsi="Times New Roman" w:cs="Times New Roman"/>
        </w:rPr>
        <w:tab/>
      </w:r>
      <w:r w:rsidRPr="004216E0">
        <w:rPr>
          <w:rFonts w:ascii="Times New Roman" w:hAnsi="Times New Roman" w:cs="Times New Roman"/>
        </w:rPr>
        <w:t>10 mg</w:t>
      </w:r>
    </w:p>
    <w:p w14:paraId="6BAA414D" w14:textId="77777777" w:rsidR="009D010C" w:rsidRPr="004216E0" w:rsidRDefault="0081775F"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rPr>
        <w:t xml:space="preserve">Zinc                    </w:t>
      </w:r>
      <w:r w:rsidRPr="004216E0">
        <w:rPr>
          <w:rFonts w:ascii="Times New Roman" w:hAnsi="Times New Roman" w:cs="Times New Roman"/>
        </w:rPr>
        <w:tab/>
      </w:r>
      <w:r w:rsidRPr="004216E0">
        <w:rPr>
          <w:rFonts w:ascii="Times New Roman" w:hAnsi="Times New Roman" w:cs="Times New Roman"/>
        </w:rPr>
        <w:tab/>
      </w:r>
      <w:r w:rsidR="00540395" w:rsidRPr="004216E0">
        <w:rPr>
          <w:rFonts w:ascii="Times New Roman" w:hAnsi="Times New Roman" w:cs="Times New Roman"/>
        </w:rPr>
        <w:tab/>
      </w:r>
      <w:r w:rsidRPr="004216E0">
        <w:rPr>
          <w:rFonts w:ascii="Times New Roman" w:hAnsi="Times New Roman" w:cs="Times New Roman"/>
        </w:rPr>
        <w:t>4.1</w:t>
      </w:r>
      <w:r w:rsidR="009D010C" w:rsidRPr="004216E0">
        <w:rPr>
          <w:rFonts w:ascii="Times New Roman" w:hAnsi="Times New Roman" w:cs="Times New Roman"/>
        </w:rPr>
        <w:t xml:space="preserve"> mg</w:t>
      </w:r>
    </w:p>
    <w:p w14:paraId="7D981DF5"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rPr>
        <w:t xml:space="preserve">Copper                  </w:t>
      </w:r>
      <w:r w:rsidRPr="004216E0">
        <w:rPr>
          <w:rFonts w:ascii="Times New Roman" w:hAnsi="Times New Roman" w:cs="Times New Roman"/>
        </w:rPr>
        <w:tab/>
      </w:r>
      <w:r w:rsidRPr="004216E0">
        <w:rPr>
          <w:rFonts w:ascii="Times New Roman" w:hAnsi="Times New Roman" w:cs="Times New Roman"/>
        </w:rPr>
        <w:tab/>
        <w:t>0.56 mg</w:t>
      </w:r>
    </w:p>
    <w:p w14:paraId="4FC22AED"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rPr>
        <w:t xml:space="preserve">Selenium                </w:t>
      </w:r>
      <w:r w:rsidRPr="004216E0">
        <w:rPr>
          <w:rFonts w:ascii="Times New Roman" w:hAnsi="Times New Roman" w:cs="Times New Roman"/>
        </w:rPr>
        <w:tab/>
      </w:r>
      <w:r w:rsidRPr="004216E0">
        <w:rPr>
          <w:rFonts w:ascii="Times New Roman" w:hAnsi="Times New Roman" w:cs="Times New Roman"/>
        </w:rPr>
        <w:tab/>
        <w:t>17 µg</w:t>
      </w:r>
    </w:p>
    <w:p w14:paraId="66F5A7BA" w14:textId="77777777" w:rsidR="009D010C" w:rsidRPr="004216E0" w:rsidRDefault="009D010C" w:rsidP="0081775F">
      <w:pPr>
        <w:tabs>
          <w:tab w:val="left" w:pos="0"/>
          <w:tab w:val="num" w:pos="1137"/>
        </w:tabs>
        <w:autoSpaceDE w:val="0"/>
        <w:autoSpaceDN w:val="0"/>
        <w:adjustRightInd w:val="0"/>
        <w:spacing w:after="0"/>
        <w:rPr>
          <w:rFonts w:ascii="Times New Roman" w:hAnsi="Times New Roman" w:cs="Times New Roman"/>
        </w:rPr>
      </w:pPr>
      <w:r w:rsidRPr="004216E0">
        <w:rPr>
          <w:rFonts w:ascii="Times New Roman" w:hAnsi="Times New Roman" w:cs="Times New Roman"/>
        </w:rPr>
        <w:t xml:space="preserve">Iodine                 </w:t>
      </w:r>
      <w:r w:rsidRPr="004216E0">
        <w:rPr>
          <w:rFonts w:ascii="Times New Roman" w:hAnsi="Times New Roman" w:cs="Times New Roman"/>
        </w:rPr>
        <w:tab/>
      </w:r>
      <w:r w:rsidRPr="004216E0">
        <w:rPr>
          <w:rFonts w:ascii="Times New Roman" w:hAnsi="Times New Roman" w:cs="Times New Roman"/>
        </w:rPr>
        <w:tab/>
      </w:r>
      <w:r w:rsidR="00540395" w:rsidRPr="004216E0">
        <w:rPr>
          <w:rFonts w:ascii="Times New Roman" w:hAnsi="Times New Roman" w:cs="Times New Roman"/>
        </w:rPr>
        <w:tab/>
      </w:r>
      <w:r w:rsidRPr="004216E0">
        <w:rPr>
          <w:rFonts w:ascii="Times New Roman" w:hAnsi="Times New Roman" w:cs="Times New Roman"/>
        </w:rPr>
        <w:t>90 µg</w:t>
      </w:r>
    </w:p>
    <w:p w14:paraId="79307E68" w14:textId="79DB4F7A" w:rsidR="004D5BBE" w:rsidRPr="00C002CD" w:rsidRDefault="009D010C" w:rsidP="004D5BBE">
      <w:pPr>
        <w:keepNext/>
        <w:widowControl w:val="0"/>
        <w:autoSpaceDE w:val="0"/>
        <w:autoSpaceDN w:val="0"/>
        <w:adjustRightInd w:val="0"/>
        <w:spacing w:before="240" w:after="60"/>
        <w:outlineLvl w:val="1"/>
        <w:rPr>
          <w:rFonts w:ascii="Times New Roman" w:hAnsi="Times New Roman" w:cs="Times New Roman"/>
        </w:rPr>
      </w:pPr>
      <w:r w:rsidRPr="00C002CD">
        <w:rPr>
          <w:rFonts w:ascii="Times New Roman" w:hAnsi="Times New Roman" w:cs="Times New Roman"/>
        </w:rPr>
        <w:t xml:space="preserve">UNICEF and the European Union </w:t>
      </w:r>
      <w:r w:rsidR="00482A30" w:rsidRPr="00C002CD">
        <w:rPr>
          <w:rFonts w:ascii="Times New Roman" w:hAnsi="Times New Roman" w:cs="Times New Roman"/>
        </w:rPr>
        <w:t xml:space="preserve">(EU) </w:t>
      </w:r>
      <w:r w:rsidRPr="00C002CD">
        <w:rPr>
          <w:rFonts w:ascii="Times New Roman" w:hAnsi="Times New Roman" w:cs="Times New Roman"/>
        </w:rPr>
        <w:t xml:space="preserve">have partnered in a project to improve nutrition security </w:t>
      </w:r>
      <w:r w:rsidR="00482A30" w:rsidRPr="00C002CD">
        <w:rPr>
          <w:rFonts w:ascii="Times New Roman" w:hAnsi="Times New Roman" w:cs="Times New Roman"/>
        </w:rPr>
        <w:t xml:space="preserve">of </w:t>
      </w:r>
      <w:r w:rsidRPr="00C002CD">
        <w:rPr>
          <w:rFonts w:ascii="Times New Roman" w:hAnsi="Times New Roman" w:cs="Times New Roman"/>
        </w:rPr>
        <w:t xml:space="preserve">women and young children in Asia. The 4-year Maternal and Young Child Nutrition Security Initiative in Asia (MYCNSIA) is being implemented in five countries, including Nepal.  The Initiative is made up of four pillars: upstream policy and awareness, capacity building, data analysis and knowledge sharing, and scaling up </w:t>
      </w:r>
      <w:r w:rsidRPr="00C002CD">
        <w:rPr>
          <w:rFonts w:ascii="Times New Roman" w:hAnsi="Times New Roman" w:cs="Times New Roman"/>
        </w:rPr>
        <w:lastRenderedPageBreak/>
        <w:t>nutrition security interventions. The first three pillars can be viewed as systemic inputs to the fourth, which holds the evidence based interventions detailed in the Lancet Nutrition Series. The Initiative aims to achieve two goals: reduc</w:t>
      </w:r>
      <w:r w:rsidR="00482A30" w:rsidRPr="00C002CD">
        <w:rPr>
          <w:rFonts w:ascii="Times New Roman" w:hAnsi="Times New Roman" w:cs="Times New Roman"/>
        </w:rPr>
        <w:t>e</w:t>
      </w:r>
      <w:r w:rsidRPr="00C002CD">
        <w:rPr>
          <w:rFonts w:ascii="Times New Roman" w:hAnsi="Times New Roman" w:cs="Times New Roman"/>
        </w:rPr>
        <w:t xml:space="preserve"> stunting rates by 5%</w:t>
      </w:r>
      <w:r w:rsidR="009932C8" w:rsidRPr="00C002CD">
        <w:rPr>
          <w:rFonts w:ascii="Times New Roman" w:hAnsi="Times New Roman" w:cs="Times New Roman"/>
        </w:rPr>
        <w:t xml:space="preserve"> points</w:t>
      </w:r>
      <w:r w:rsidRPr="00C002CD">
        <w:rPr>
          <w:rFonts w:ascii="Times New Roman" w:hAnsi="Times New Roman" w:cs="Times New Roman"/>
        </w:rPr>
        <w:t xml:space="preserve"> from baseline in four years, and reduc</w:t>
      </w:r>
      <w:r w:rsidR="00482A30" w:rsidRPr="00C002CD">
        <w:rPr>
          <w:rFonts w:ascii="Times New Roman" w:hAnsi="Times New Roman" w:cs="Times New Roman"/>
        </w:rPr>
        <w:t>e</w:t>
      </w:r>
      <w:r w:rsidRPr="00C002CD">
        <w:rPr>
          <w:rFonts w:ascii="Times New Roman" w:hAnsi="Times New Roman" w:cs="Times New Roman"/>
        </w:rPr>
        <w:t xml:space="preserve"> </w:t>
      </w:r>
      <w:r w:rsidR="00544D82" w:rsidRPr="00C002CD">
        <w:rPr>
          <w:rFonts w:ascii="Times New Roman" w:hAnsi="Times New Roman" w:cs="Times New Roman"/>
        </w:rPr>
        <w:t>anaemia</w:t>
      </w:r>
      <w:r w:rsidRPr="00C002CD">
        <w:rPr>
          <w:rFonts w:ascii="Times New Roman" w:hAnsi="Times New Roman" w:cs="Times New Roman"/>
        </w:rPr>
        <w:t xml:space="preserve"> in pregnant women and children by one third from baseline in the same period.</w:t>
      </w:r>
      <w:r w:rsidR="00482A30" w:rsidRPr="00C002CD">
        <w:rPr>
          <w:rFonts w:ascii="Times New Roman" w:hAnsi="Times New Roman" w:cs="Times New Roman"/>
        </w:rPr>
        <w:t xml:space="preserve">  </w:t>
      </w:r>
      <w:r w:rsidRPr="00C002CD">
        <w:rPr>
          <w:rFonts w:ascii="Times New Roman" w:hAnsi="Times New Roman" w:cs="Times New Roman"/>
        </w:rPr>
        <w:t xml:space="preserve">A key component of MYCNSIA is scaling up the </w:t>
      </w:r>
      <w:r w:rsidR="001817A0" w:rsidRPr="00C002CD">
        <w:rPr>
          <w:rFonts w:ascii="Times New Roman" w:hAnsi="Times New Roman" w:cs="Times New Roman"/>
        </w:rPr>
        <w:t xml:space="preserve">IYCF/MNP Baal Vita intervention, </w:t>
      </w:r>
      <w:r w:rsidR="00482A30" w:rsidRPr="00C002CD">
        <w:rPr>
          <w:rFonts w:ascii="Times New Roman" w:hAnsi="Times New Roman" w:cs="Times New Roman"/>
        </w:rPr>
        <w:t xml:space="preserve">including </w:t>
      </w:r>
      <w:r w:rsidRPr="00C002CD">
        <w:rPr>
          <w:rFonts w:ascii="Times New Roman" w:hAnsi="Times New Roman" w:cs="Times New Roman"/>
        </w:rPr>
        <w:t>implementing a baseline</w:t>
      </w:r>
      <w:r w:rsidR="00D42B08" w:rsidRPr="00C002CD">
        <w:rPr>
          <w:rFonts w:ascii="Times New Roman" w:hAnsi="Times New Roman" w:cs="Times New Roman"/>
        </w:rPr>
        <w:t>/</w:t>
      </w:r>
      <w:r w:rsidR="00DC08C4">
        <w:rPr>
          <w:rFonts w:ascii="Times New Roman" w:hAnsi="Times New Roman" w:cs="Times New Roman"/>
        </w:rPr>
        <w:t>follow-up</w:t>
      </w:r>
      <w:r w:rsidR="00DC08C4" w:rsidRPr="00C002CD">
        <w:rPr>
          <w:rFonts w:ascii="Times New Roman" w:hAnsi="Times New Roman" w:cs="Times New Roman"/>
        </w:rPr>
        <w:t xml:space="preserve"> </w:t>
      </w:r>
      <w:r w:rsidRPr="00C002CD">
        <w:rPr>
          <w:rFonts w:ascii="Times New Roman" w:hAnsi="Times New Roman" w:cs="Times New Roman"/>
        </w:rPr>
        <w:t xml:space="preserve">survey among young children that collects anthropometry and </w:t>
      </w:r>
      <w:r w:rsidR="001817A0" w:rsidRPr="00C002CD">
        <w:rPr>
          <w:rFonts w:ascii="Times New Roman" w:hAnsi="Times New Roman" w:cs="Times New Roman"/>
        </w:rPr>
        <w:t>anaemia/micronutrient status</w:t>
      </w:r>
      <w:r w:rsidR="004D5BBE" w:rsidRPr="00C002CD">
        <w:rPr>
          <w:rFonts w:ascii="Times New Roman" w:hAnsi="Times New Roman" w:cs="Times New Roman"/>
        </w:rPr>
        <w:t xml:space="preserve"> data.</w:t>
      </w:r>
    </w:p>
    <w:p w14:paraId="546E54F0" w14:textId="77777777" w:rsidR="009D010C" w:rsidRPr="00C002CD" w:rsidRDefault="009D010C" w:rsidP="004D5BBE">
      <w:pPr>
        <w:keepNext/>
        <w:widowControl w:val="0"/>
        <w:autoSpaceDE w:val="0"/>
        <w:autoSpaceDN w:val="0"/>
        <w:adjustRightInd w:val="0"/>
        <w:spacing w:before="240" w:after="60"/>
        <w:outlineLvl w:val="1"/>
        <w:rPr>
          <w:rFonts w:ascii="Times New Roman" w:hAnsi="Times New Roman" w:cs="Times New Roman"/>
        </w:rPr>
      </w:pPr>
      <w:r w:rsidRPr="004216E0">
        <w:rPr>
          <w:rFonts w:ascii="Times New Roman" w:hAnsi="Times New Roman" w:cs="Times New Roman"/>
          <w:b/>
          <w:i/>
        </w:rPr>
        <w:t>Significance of the Proposed Survey for Nutrition Program Policy Decisions</w:t>
      </w:r>
    </w:p>
    <w:p w14:paraId="27BD7074" w14:textId="77777777" w:rsidR="008574EF" w:rsidRPr="004216E0" w:rsidRDefault="009D010C" w:rsidP="008574EF">
      <w:pPr>
        <w:pStyle w:val="NoSpacing"/>
        <w:jc w:val="both"/>
        <w:rPr>
          <w:rFonts w:ascii="Times New Roman" w:eastAsia="Calibri" w:hAnsi="Times New Roman" w:cs="Times New Roman"/>
          <w:color w:val="000000" w:themeColor="text1"/>
        </w:rPr>
      </w:pPr>
      <w:r w:rsidRPr="004216E0">
        <w:rPr>
          <w:rFonts w:ascii="Times New Roman" w:eastAsia="Calibri" w:hAnsi="Times New Roman" w:cs="Times New Roman"/>
          <w:color w:val="000000" w:themeColor="text1"/>
        </w:rPr>
        <w:t xml:space="preserve">There is currently enormous political momentum and interest in support of nutrition in Nepal.  Globally, Nepal’s success on micronutrients and its strong commitment to nutrition have been well recognized; the country was identified as an “early riser” by the Scaling Up Nutrition (SUN) movement, and is one of the </w:t>
      </w:r>
      <w:r w:rsidR="007E418F" w:rsidRPr="004216E0">
        <w:rPr>
          <w:rFonts w:ascii="Times New Roman" w:eastAsia="Calibri" w:hAnsi="Times New Roman" w:cs="Times New Roman"/>
          <w:color w:val="000000" w:themeColor="text1"/>
        </w:rPr>
        <w:t xml:space="preserve">54 </w:t>
      </w:r>
      <w:r w:rsidRPr="004216E0">
        <w:rPr>
          <w:rFonts w:ascii="Times New Roman" w:eastAsia="Calibri" w:hAnsi="Times New Roman" w:cs="Times New Roman"/>
          <w:color w:val="000000" w:themeColor="text1"/>
        </w:rPr>
        <w:t>countries to receive support from the global initiative on Renewed Efforts Against Child Hunger (REACH) to help in the SUN efforts.</w:t>
      </w:r>
    </w:p>
    <w:p w14:paraId="298FCFE2" w14:textId="77777777" w:rsidR="008574EF" w:rsidRPr="004216E0" w:rsidRDefault="008574EF" w:rsidP="008574EF">
      <w:pPr>
        <w:pStyle w:val="NoSpacing"/>
        <w:jc w:val="both"/>
        <w:rPr>
          <w:rFonts w:ascii="Times New Roman" w:eastAsia="Calibri" w:hAnsi="Times New Roman" w:cs="Times New Roman"/>
          <w:color w:val="000000" w:themeColor="text1"/>
        </w:rPr>
      </w:pPr>
    </w:p>
    <w:p w14:paraId="0D26DE5B" w14:textId="5AC3222C" w:rsidR="008574EF" w:rsidRPr="004216E0" w:rsidRDefault="008574EF" w:rsidP="008574EF">
      <w:pPr>
        <w:pStyle w:val="NoSpacing"/>
        <w:jc w:val="both"/>
        <w:rPr>
          <w:rFonts w:ascii="Times New Roman" w:eastAsia="Calibri" w:hAnsi="Times New Roman" w:cs="Times New Roman"/>
          <w:color w:val="000000" w:themeColor="text1"/>
        </w:rPr>
      </w:pPr>
      <w:r w:rsidRPr="004216E0">
        <w:rPr>
          <w:rFonts w:ascii="Times New Roman" w:eastAsia="Calibri" w:hAnsi="Times New Roman" w:cs="Times New Roman"/>
          <w:color w:val="000000" w:themeColor="text1"/>
        </w:rPr>
        <w:t>With lead</w:t>
      </w:r>
      <w:r w:rsidR="00A662D3" w:rsidRPr="004216E0">
        <w:rPr>
          <w:rFonts w:ascii="Times New Roman" w:eastAsia="Calibri" w:hAnsi="Times New Roman" w:cs="Times New Roman"/>
          <w:color w:val="000000" w:themeColor="text1"/>
        </w:rPr>
        <w:t xml:space="preserve"> technical support from UNICEF to </w:t>
      </w:r>
      <w:r w:rsidRPr="004216E0">
        <w:rPr>
          <w:rFonts w:ascii="Times New Roman" w:eastAsia="Calibri" w:hAnsi="Times New Roman" w:cs="Times New Roman"/>
          <w:color w:val="000000" w:themeColor="text1"/>
        </w:rPr>
        <w:t>the NPC</w:t>
      </w:r>
      <w:r w:rsidR="00A662D3" w:rsidRPr="004216E0">
        <w:rPr>
          <w:rFonts w:ascii="Times New Roman" w:eastAsia="Calibri" w:hAnsi="Times New Roman" w:cs="Times New Roman"/>
          <w:color w:val="000000" w:themeColor="text1"/>
        </w:rPr>
        <w:t xml:space="preserve">, </w:t>
      </w:r>
      <w:r w:rsidRPr="004216E0">
        <w:rPr>
          <w:rFonts w:ascii="Times New Roman" w:eastAsia="Calibri" w:hAnsi="Times New Roman" w:cs="Times New Roman"/>
          <w:color w:val="000000" w:themeColor="text1"/>
        </w:rPr>
        <w:t xml:space="preserve">nutrition reviews </w:t>
      </w:r>
      <w:r w:rsidR="00A662D3" w:rsidRPr="004216E0">
        <w:rPr>
          <w:rFonts w:ascii="Times New Roman" w:eastAsia="Calibri" w:hAnsi="Times New Roman" w:cs="Times New Roman"/>
          <w:color w:val="000000" w:themeColor="text1"/>
        </w:rPr>
        <w:t xml:space="preserve">within the nutrition specific and the sensitive sectors </w:t>
      </w:r>
      <w:r w:rsidRPr="004216E0">
        <w:rPr>
          <w:rFonts w:ascii="Times New Roman" w:eastAsia="Calibri" w:hAnsi="Times New Roman" w:cs="Times New Roman"/>
          <w:color w:val="000000" w:themeColor="text1"/>
        </w:rPr>
        <w:t xml:space="preserve">have fed into </w:t>
      </w:r>
      <w:r w:rsidR="00A662D3" w:rsidRPr="004216E0">
        <w:rPr>
          <w:rFonts w:ascii="Times New Roman" w:eastAsia="Calibri" w:hAnsi="Times New Roman" w:cs="Times New Roman"/>
          <w:color w:val="000000" w:themeColor="text1"/>
        </w:rPr>
        <w:t xml:space="preserve">the development of the </w:t>
      </w:r>
      <w:r w:rsidRPr="004216E0">
        <w:rPr>
          <w:rFonts w:ascii="Times New Roman" w:eastAsia="Calibri" w:hAnsi="Times New Roman" w:cs="Times New Roman"/>
          <w:color w:val="000000" w:themeColor="text1"/>
        </w:rPr>
        <w:t xml:space="preserve">evidence-based five-year costed multi-sector nutrition plan (MSNP), with a ten-year vision. The main purpose of MSNP is to accelerate reduction of maternal and child undernutrition with a focus on the ‘critical window of opportunity” or the </w:t>
      </w:r>
      <w:r w:rsidR="00CA71A1" w:rsidRPr="004216E0">
        <w:rPr>
          <w:rFonts w:ascii="Times New Roman" w:eastAsia="Calibri" w:hAnsi="Times New Roman" w:cs="Times New Roman"/>
          <w:color w:val="000000" w:themeColor="text1"/>
        </w:rPr>
        <w:t xml:space="preserve">first 1,000 days of life. With </w:t>
      </w:r>
      <w:r w:rsidRPr="004216E0">
        <w:rPr>
          <w:rFonts w:ascii="Times New Roman" w:eastAsia="Calibri" w:hAnsi="Times New Roman" w:cs="Times New Roman"/>
          <w:color w:val="000000" w:themeColor="text1"/>
        </w:rPr>
        <w:t xml:space="preserve">the leadership of NPC, </w:t>
      </w:r>
      <w:r w:rsidR="00A662D3" w:rsidRPr="004216E0">
        <w:rPr>
          <w:rFonts w:ascii="Times New Roman" w:eastAsia="Calibri" w:hAnsi="Times New Roman" w:cs="Times New Roman"/>
          <w:color w:val="000000" w:themeColor="text1"/>
        </w:rPr>
        <w:t>six</w:t>
      </w:r>
      <w:r w:rsidRPr="004216E0">
        <w:rPr>
          <w:rFonts w:ascii="Times New Roman" w:eastAsia="Calibri" w:hAnsi="Times New Roman" w:cs="Times New Roman"/>
          <w:color w:val="000000" w:themeColor="text1"/>
        </w:rPr>
        <w:t xml:space="preserve"> key ministries (Ministry of Health and Population, Ministry of Agriculture Development, Ministry of Education, Ministry of Federal Affairs and Local Development</w:t>
      </w:r>
      <w:r w:rsidR="00A662D3" w:rsidRPr="004216E0">
        <w:rPr>
          <w:rFonts w:ascii="Times New Roman" w:eastAsia="Calibri" w:hAnsi="Times New Roman" w:cs="Times New Roman"/>
          <w:color w:val="000000" w:themeColor="text1"/>
        </w:rPr>
        <w:t>, Ministry of Women, Children and Social Welfare</w:t>
      </w:r>
      <w:r w:rsidRPr="004216E0">
        <w:rPr>
          <w:rFonts w:ascii="Times New Roman" w:eastAsia="Calibri" w:hAnsi="Times New Roman" w:cs="Times New Roman"/>
          <w:color w:val="000000" w:themeColor="text1"/>
        </w:rPr>
        <w:t xml:space="preserve"> and Ministry of Urban Development), </w:t>
      </w:r>
      <w:r w:rsidR="00A662D3" w:rsidRPr="004216E0">
        <w:rPr>
          <w:rFonts w:ascii="Times New Roman" w:eastAsia="Calibri" w:hAnsi="Times New Roman" w:cs="Times New Roman"/>
          <w:color w:val="000000" w:themeColor="text1"/>
        </w:rPr>
        <w:t>are</w:t>
      </w:r>
      <w:r w:rsidRPr="004216E0">
        <w:rPr>
          <w:rFonts w:ascii="Times New Roman" w:eastAsia="Calibri" w:hAnsi="Times New Roman" w:cs="Times New Roman"/>
          <w:color w:val="000000" w:themeColor="text1"/>
        </w:rPr>
        <w:t xml:space="preserve"> deliver</w:t>
      </w:r>
      <w:r w:rsidR="00A662D3" w:rsidRPr="004216E0">
        <w:rPr>
          <w:rFonts w:ascii="Times New Roman" w:eastAsia="Calibri" w:hAnsi="Times New Roman" w:cs="Times New Roman"/>
          <w:color w:val="000000" w:themeColor="text1"/>
        </w:rPr>
        <w:t>ing</w:t>
      </w:r>
      <w:r w:rsidRPr="004216E0">
        <w:rPr>
          <w:rFonts w:ascii="Times New Roman" w:eastAsia="Calibri" w:hAnsi="Times New Roman" w:cs="Times New Roman"/>
          <w:color w:val="000000" w:themeColor="text1"/>
        </w:rPr>
        <w:t xml:space="preserve"> a package of nutrition specific and nutrition sensitive interventions in a coordinated manner for sustained results, in line with the global SUN framework for action. The MSNP was approved by the cabinet and lunched nationally by the then Prime-Minister in September 2012; its implementation is being inaugurated in all the six model districts in 2013.  This advanced progress and development as earlier stated is more than was anticipated, there is a need to maintain the momentum and ensure that MSNP is effectively modelled in these initial six districts.</w:t>
      </w:r>
    </w:p>
    <w:p w14:paraId="272D06F4" w14:textId="77777777" w:rsidR="007E418F" w:rsidRPr="004216E0" w:rsidRDefault="007E418F" w:rsidP="009D010C">
      <w:pPr>
        <w:pStyle w:val="NoSpacing"/>
        <w:jc w:val="both"/>
        <w:rPr>
          <w:rFonts w:ascii="Times New Roman" w:eastAsia="Calibri" w:hAnsi="Times New Roman" w:cs="Times New Roman"/>
          <w:color w:val="000000" w:themeColor="text1"/>
        </w:rPr>
      </w:pPr>
    </w:p>
    <w:p w14:paraId="05707378" w14:textId="3E63A999" w:rsidR="009D010C" w:rsidRPr="00CB11A5" w:rsidRDefault="009D010C" w:rsidP="009D010C">
      <w:pPr>
        <w:pStyle w:val="NoSpacing"/>
        <w:jc w:val="both"/>
        <w:rPr>
          <w:rFonts w:ascii="Times New Roman" w:hAnsi="Times New Roman" w:cs="Times New Roman"/>
        </w:rPr>
      </w:pPr>
      <w:r w:rsidRPr="004216E0">
        <w:rPr>
          <w:rFonts w:ascii="Times New Roman" w:hAnsi="Times New Roman" w:cs="Times New Roman"/>
        </w:rPr>
        <w:t xml:space="preserve">Two of the main recommendations of the 2011 nutrition review for the health sector in Nepal </w:t>
      </w:r>
      <w:r w:rsidR="007F4FE4" w:rsidRPr="004216E0">
        <w:rPr>
          <w:rFonts w:ascii="Times New Roman" w:hAnsi="Times New Roman" w:cs="Times New Roman"/>
        </w:rPr>
        <w:t xml:space="preserve">were </w:t>
      </w:r>
      <w:r w:rsidRPr="004216E0">
        <w:rPr>
          <w:rFonts w:ascii="Times New Roman" w:hAnsi="Times New Roman" w:cs="Times New Roman"/>
        </w:rPr>
        <w:t xml:space="preserve">to: (1) maintain and strengthen key micronutrient interventions that have been successfully implemented at scale (e.g. Vitamin A supplementation to children, iron and folic acid supplementation to pregnant women, zinc in management of </w:t>
      </w:r>
      <w:r w:rsidRPr="004216E0">
        <w:rPr>
          <w:rFonts w:ascii="Times New Roman" w:hAnsi="Times New Roman" w:cs="Times New Roman"/>
          <w:lang w:val="en-US"/>
        </w:rPr>
        <w:t>diarrhea</w:t>
      </w:r>
      <w:r w:rsidRPr="004216E0">
        <w:rPr>
          <w:rFonts w:ascii="Times New Roman" w:hAnsi="Times New Roman" w:cs="Times New Roman"/>
        </w:rPr>
        <w:t xml:space="preserve"> and salt iodization); and (2) scale-up on-going pilots (e.g. IYCF/MNPs, Community-based Management of Acute Malnutrition (CMAM), and roller mill flour fortification).  </w:t>
      </w:r>
      <w:r w:rsidRPr="00CB11A5">
        <w:rPr>
          <w:rFonts w:ascii="Times New Roman" w:hAnsi="Times New Roman" w:cs="Times New Roman"/>
        </w:rPr>
        <w:t xml:space="preserve">The </w:t>
      </w:r>
      <w:r w:rsidR="00DC08C4">
        <w:rPr>
          <w:rFonts w:ascii="Times New Roman" w:hAnsi="Times New Roman" w:cs="Times New Roman"/>
        </w:rPr>
        <w:t>follow-up</w:t>
      </w:r>
      <w:r w:rsidR="00DC08C4" w:rsidRPr="00CB11A5">
        <w:rPr>
          <w:rFonts w:ascii="Times New Roman" w:hAnsi="Times New Roman" w:cs="Times New Roman"/>
        </w:rPr>
        <w:t xml:space="preserve"> </w:t>
      </w:r>
      <w:r w:rsidRPr="00CB11A5">
        <w:rPr>
          <w:rFonts w:ascii="Times New Roman" w:hAnsi="Times New Roman" w:cs="Times New Roman"/>
        </w:rPr>
        <w:t>impact survey will serve to inform policy makers about the potential impact of the scale up of the integrated IYCF/MNP programs when they reach national level distribution.</w:t>
      </w:r>
    </w:p>
    <w:p w14:paraId="460A783E" w14:textId="77777777" w:rsidR="009D010C" w:rsidRPr="00C002CD" w:rsidRDefault="009D010C" w:rsidP="009D010C">
      <w:pPr>
        <w:rPr>
          <w:rFonts w:ascii="Times New Roman" w:hAnsi="Times New Roman" w:cs="Times New Roman"/>
        </w:rPr>
      </w:pPr>
    </w:p>
    <w:p w14:paraId="1AB3BE77" w14:textId="7BC3C7EA" w:rsidR="009932C8" w:rsidRPr="005D0646" w:rsidRDefault="009932C8" w:rsidP="009932C8">
      <w:pPr>
        <w:jc w:val="both"/>
        <w:rPr>
          <w:rFonts w:ascii="Times New Roman" w:hAnsi="Times New Roman" w:cs="Times New Roman"/>
        </w:rPr>
      </w:pPr>
      <w:r w:rsidRPr="00CD5CC3">
        <w:rPr>
          <w:rFonts w:ascii="Times New Roman" w:hAnsi="Times New Roman" w:cs="Times New Roman"/>
          <w:b/>
          <w:i/>
        </w:rPr>
        <w:t>Primary Objective of the Survey</w:t>
      </w:r>
      <w:r w:rsidR="005D0646">
        <w:rPr>
          <w:rFonts w:ascii="Times New Roman" w:hAnsi="Times New Roman" w:cs="Times New Roman"/>
          <w:b/>
          <w:i/>
        </w:rPr>
        <w:t xml:space="preserve"> </w:t>
      </w:r>
      <w:r w:rsidR="005D0646" w:rsidRPr="005D0646">
        <w:rPr>
          <w:rFonts w:ascii="Times New Roman" w:hAnsi="Times New Roman" w:cs="Times New Roman"/>
          <w:b/>
          <w:highlight w:val="yellow"/>
        </w:rPr>
        <w:t>(Change to be specific to the survey)</w:t>
      </w:r>
    </w:p>
    <w:p w14:paraId="7C9E89D5" w14:textId="3A33511A" w:rsidR="009932C8" w:rsidRPr="00CD5CC3" w:rsidRDefault="007E418F" w:rsidP="009932C8">
      <w:pPr>
        <w:spacing w:after="0" w:line="240" w:lineRule="auto"/>
        <w:jc w:val="both"/>
        <w:rPr>
          <w:rFonts w:ascii="Times New Roman" w:hAnsi="Times New Roman" w:cs="Times New Roman"/>
        </w:rPr>
      </w:pPr>
      <w:r w:rsidRPr="00CD5CC3">
        <w:rPr>
          <w:rFonts w:ascii="Times New Roman" w:hAnsi="Times New Roman" w:cs="Times New Roman"/>
        </w:rPr>
        <w:lastRenderedPageBreak/>
        <w:t>A</w:t>
      </w:r>
      <w:r w:rsidR="009932C8" w:rsidRPr="00CD5CC3">
        <w:rPr>
          <w:rFonts w:ascii="Times New Roman" w:hAnsi="Times New Roman" w:cs="Times New Roman"/>
        </w:rPr>
        <w:t xml:space="preserve"> cross-sectional baseline survey </w:t>
      </w:r>
      <w:r w:rsidRPr="00CD5CC3">
        <w:rPr>
          <w:rFonts w:ascii="Times New Roman" w:hAnsi="Times New Roman" w:cs="Times New Roman"/>
        </w:rPr>
        <w:t>was conducted on 2012-2013 to</w:t>
      </w:r>
      <w:r w:rsidR="009932C8" w:rsidRPr="00CD5CC3">
        <w:rPr>
          <w:rFonts w:ascii="Times New Roman" w:hAnsi="Times New Roman" w:cs="Times New Roman"/>
        </w:rPr>
        <w:t xml:space="preserve"> assess the nutritional status of children 6–24 months. The survey include</w:t>
      </w:r>
      <w:r w:rsidRPr="00CD5CC3">
        <w:rPr>
          <w:rFonts w:ascii="Times New Roman" w:hAnsi="Times New Roman" w:cs="Times New Roman"/>
        </w:rPr>
        <w:t>d</w:t>
      </w:r>
      <w:r w:rsidR="009932C8" w:rsidRPr="00CD5CC3">
        <w:rPr>
          <w:rFonts w:ascii="Times New Roman" w:hAnsi="Times New Roman" w:cs="Times New Roman"/>
        </w:rPr>
        <w:t xml:space="preserve"> questionnaires, anthropometry, and assessment of the condition of anemia, and status of iron, folic acid, vitamin A, vitamin B12, and zinc, providing </w:t>
      </w:r>
      <w:r w:rsidRPr="00CD5CC3">
        <w:rPr>
          <w:rFonts w:ascii="Times New Roman" w:hAnsi="Times New Roman" w:cs="Times New Roman"/>
        </w:rPr>
        <w:t>baseline</w:t>
      </w:r>
      <w:r w:rsidR="009932C8" w:rsidRPr="00CD5CC3">
        <w:rPr>
          <w:rFonts w:ascii="Times New Roman" w:hAnsi="Times New Roman" w:cs="Times New Roman"/>
        </w:rPr>
        <w:t xml:space="preserve"> estimates for the IYCF/Baal Vita and the EU/MYCNSIA interventions.  A follow-up cross-sectional survey </w:t>
      </w:r>
      <w:r w:rsidRPr="00CD5CC3">
        <w:rPr>
          <w:rFonts w:ascii="Times New Roman" w:hAnsi="Times New Roman" w:cs="Times New Roman"/>
        </w:rPr>
        <w:t>is hence planned</w:t>
      </w:r>
      <w:r w:rsidR="009932C8" w:rsidRPr="00CD5CC3">
        <w:rPr>
          <w:rFonts w:ascii="Times New Roman" w:hAnsi="Times New Roman" w:cs="Times New Roman"/>
        </w:rPr>
        <w:t xml:space="preserve"> </w:t>
      </w:r>
      <w:r w:rsidR="007F4FE4" w:rsidRPr="00CD5CC3">
        <w:rPr>
          <w:rFonts w:ascii="Times New Roman" w:hAnsi="Times New Roman" w:cs="Times New Roman"/>
        </w:rPr>
        <w:t xml:space="preserve">to </w:t>
      </w:r>
      <w:r w:rsidR="009932C8" w:rsidRPr="00CD5CC3">
        <w:rPr>
          <w:rFonts w:ascii="Times New Roman" w:hAnsi="Times New Roman" w:cs="Times New Roman"/>
        </w:rPr>
        <w:t xml:space="preserve">be conducted </w:t>
      </w:r>
      <w:r w:rsidR="00482A30" w:rsidRPr="00CD5CC3">
        <w:rPr>
          <w:rFonts w:ascii="Times New Roman" w:hAnsi="Times New Roman" w:cs="Times New Roman"/>
        </w:rPr>
        <w:t xml:space="preserve">3 </w:t>
      </w:r>
      <w:r w:rsidR="009932C8" w:rsidRPr="00CD5CC3">
        <w:rPr>
          <w:rFonts w:ascii="Times New Roman" w:hAnsi="Times New Roman" w:cs="Times New Roman"/>
        </w:rPr>
        <w:t xml:space="preserve">years later in the same clusters (with a new random selection of eligible children) in order to assess the impact of the intervention. Unless otherwise specified, the rest of this </w:t>
      </w:r>
      <w:r w:rsidR="00482A30" w:rsidRPr="00CD5CC3">
        <w:rPr>
          <w:rFonts w:ascii="Times New Roman" w:hAnsi="Times New Roman" w:cs="Times New Roman"/>
        </w:rPr>
        <w:t xml:space="preserve">TOR </w:t>
      </w:r>
      <w:r w:rsidR="009932C8" w:rsidRPr="00CD5CC3">
        <w:rPr>
          <w:rFonts w:ascii="Times New Roman" w:hAnsi="Times New Roman" w:cs="Times New Roman"/>
        </w:rPr>
        <w:t xml:space="preserve">relates only to the </w:t>
      </w:r>
      <w:r w:rsidR="00DC08C4">
        <w:rPr>
          <w:rFonts w:ascii="Times New Roman" w:hAnsi="Times New Roman" w:cs="Times New Roman"/>
        </w:rPr>
        <w:t>follow-up</w:t>
      </w:r>
      <w:r w:rsidR="00DC08C4" w:rsidRPr="00CD5CC3">
        <w:rPr>
          <w:rFonts w:ascii="Times New Roman" w:hAnsi="Times New Roman" w:cs="Times New Roman"/>
        </w:rPr>
        <w:t xml:space="preserve"> </w:t>
      </w:r>
      <w:r w:rsidR="009932C8" w:rsidRPr="00CD5CC3">
        <w:rPr>
          <w:rFonts w:ascii="Times New Roman" w:hAnsi="Times New Roman" w:cs="Times New Roman"/>
        </w:rPr>
        <w:t>survey</w:t>
      </w:r>
      <w:r w:rsidRPr="00CD5CC3">
        <w:rPr>
          <w:rFonts w:ascii="Times New Roman" w:hAnsi="Times New Roman" w:cs="Times New Roman"/>
        </w:rPr>
        <w:t xml:space="preserve">. </w:t>
      </w:r>
      <w:r w:rsidR="009932C8" w:rsidRPr="00CD5CC3">
        <w:rPr>
          <w:rFonts w:ascii="Times New Roman" w:hAnsi="Times New Roman" w:cs="Times New Roman"/>
        </w:rPr>
        <w:t xml:space="preserve"> </w:t>
      </w:r>
    </w:p>
    <w:p w14:paraId="691AAFD4" w14:textId="77777777" w:rsidR="0056713E" w:rsidRPr="00CD5CC3" w:rsidRDefault="0056713E" w:rsidP="009932C8">
      <w:pPr>
        <w:rPr>
          <w:rFonts w:ascii="Times New Roman" w:hAnsi="Times New Roman" w:cs="Times New Roman"/>
          <w:b/>
          <w:i/>
        </w:rPr>
      </w:pPr>
    </w:p>
    <w:p w14:paraId="3FD8572B" w14:textId="591A8039" w:rsidR="009932C8" w:rsidRPr="005D0646" w:rsidRDefault="009932C8" w:rsidP="009932C8">
      <w:pPr>
        <w:rPr>
          <w:rFonts w:ascii="Times New Roman" w:hAnsi="Times New Roman" w:cs="Times New Roman"/>
          <w:b/>
        </w:rPr>
      </w:pPr>
      <w:r w:rsidRPr="00CD5CC3">
        <w:rPr>
          <w:rFonts w:ascii="Times New Roman" w:hAnsi="Times New Roman" w:cs="Times New Roman"/>
          <w:b/>
          <w:i/>
        </w:rPr>
        <w:t>Survey Design, Target Population, Data Collection and Sampling</w:t>
      </w:r>
      <w:r w:rsidR="005D0646">
        <w:rPr>
          <w:rFonts w:ascii="Times New Roman" w:hAnsi="Times New Roman" w:cs="Times New Roman"/>
          <w:b/>
          <w:i/>
        </w:rPr>
        <w:t xml:space="preserve"> </w:t>
      </w:r>
      <w:r w:rsidR="005D0646" w:rsidRPr="005D0646">
        <w:rPr>
          <w:rFonts w:ascii="Times New Roman" w:hAnsi="Times New Roman" w:cs="Times New Roman"/>
          <w:b/>
          <w:highlight w:val="yellow"/>
        </w:rPr>
        <w:t>(Change to be specific to the survey)</w:t>
      </w:r>
    </w:p>
    <w:p w14:paraId="6994EFD3" w14:textId="77777777" w:rsidR="009932C8" w:rsidRPr="00C002CD" w:rsidRDefault="009932C8" w:rsidP="009932C8">
      <w:pPr>
        <w:rPr>
          <w:rFonts w:ascii="Times New Roman" w:hAnsi="Times New Roman" w:cs="Times New Roman"/>
          <w:i/>
        </w:rPr>
      </w:pPr>
      <w:r w:rsidRPr="00C002CD">
        <w:rPr>
          <w:rFonts w:ascii="Times New Roman" w:hAnsi="Times New Roman" w:cs="Times New Roman"/>
          <w:i/>
        </w:rPr>
        <w:t>Survey Design</w:t>
      </w:r>
    </w:p>
    <w:p w14:paraId="09EE088F" w14:textId="7D7427C3" w:rsidR="00387919" w:rsidRDefault="009932C8" w:rsidP="001312CE">
      <w:pPr>
        <w:jc w:val="both"/>
        <w:rPr>
          <w:rFonts w:ascii="Times New Roman" w:hAnsi="Times New Roman" w:cs="Times New Roman"/>
        </w:rPr>
      </w:pPr>
      <w:r w:rsidRPr="008601EE">
        <w:rPr>
          <w:rFonts w:ascii="Times New Roman" w:hAnsi="Times New Roman" w:cs="Times New Roman"/>
        </w:rPr>
        <w:t xml:space="preserve">The </w:t>
      </w:r>
      <w:r w:rsidR="00763885">
        <w:rPr>
          <w:rFonts w:ascii="Times New Roman" w:hAnsi="Times New Roman" w:cs="Times New Roman"/>
        </w:rPr>
        <w:t>follow-up survey</w:t>
      </w:r>
      <w:r w:rsidRPr="008601EE">
        <w:rPr>
          <w:rFonts w:ascii="Times New Roman" w:hAnsi="Times New Roman" w:cs="Times New Roman"/>
        </w:rPr>
        <w:t xml:space="preserve"> design is cross-sectional, population based, </w:t>
      </w:r>
      <w:r w:rsidR="00CD5CC3">
        <w:rPr>
          <w:rFonts w:ascii="Times New Roman" w:hAnsi="Times New Roman" w:cs="Times New Roman"/>
        </w:rPr>
        <w:t xml:space="preserve">and </w:t>
      </w:r>
      <w:r w:rsidRPr="008601EE">
        <w:rPr>
          <w:rFonts w:ascii="Times New Roman" w:hAnsi="Times New Roman" w:cs="Times New Roman"/>
        </w:rPr>
        <w:t>representative of each of two districts (one hill and one terai)</w:t>
      </w:r>
      <w:r w:rsidR="0017710C" w:rsidRPr="008601EE">
        <w:rPr>
          <w:rFonts w:ascii="Times New Roman" w:hAnsi="Times New Roman" w:cs="Times New Roman"/>
        </w:rPr>
        <w:t xml:space="preserve"> </w:t>
      </w:r>
      <w:r w:rsidR="00CD5CC3">
        <w:rPr>
          <w:rFonts w:ascii="Times New Roman" w:hAnsi="Times New Roman" w:cs="Times New Roman"/>
        </w:rPr>
        <w:t xml:space="preserve">that participated in the baseline data collection </w:t>
      </w:r>
      <w:r w:rsidR="0017710C" w:rsidRPr="008601EE">
        <w:rPr>
          <w:rFonts w:ascii="Times New Roman" w:hAnsi="Times New Roman" w:cs="Times New Roman"/>
        </w:rPr>
        <w:t xml:space="preserve">and </w:t>
      </w:r>
      <w:r w:rsidR="00CD5CC3">
        <w:rPr>
          <w:rFonts w:ascii="Times New Roman" w:hAnsi="Times New Roman" w:cs="Times New Roman"/>
        </w:rPr>
        <w:t xml:space="preserve">since </w:t>
      </w:r>
      <w:r w:rsidR="0017710C" w:rsidRPr="008601EE">
        <w:rPr>
          <w:rFonts w:ascii="Times New Roman" w:hAnsi="Times New Roman" w:cs="Times New Roman"/>
        </w:rPr>
        <w:t xml:space="preserve">that </w:t>
      </w:r>
      <w:r w:rsidR="00CD5CC3">
        <w:rPr>
          <w:rFonts w:ascii="Times New Roman" w:hAnsi="Times New Roman" w:cs="Times New Roman"/>
        </w:rPr>
        <w:t xml:space="preserve">time </w:t>
      </w:r>
      <w:r w:rsidR="0017710C" w:rsidRPr="008601EE">
        <w:rPr>
          <w:rFonts w:ascii="Times New Roman" w:hAnsi="Times New Roman" w:cs="Times New Roman"/>
        </w:rPr>
        <w:t xml:space="preserve">have been exposed to </w:t>
      </w:r>
      <w:r w:rsidR="00CD5CC3">
        <w:rPr>
          <w:rFonts w:ascii="Times New Roman" w:hAnsi="Times New Roman" w:cs="Times New Roman"/>
        </w:rPr>
        <w:t xml:space="preserve">the </w:t>
      </w:r>
      <w:r w:rsidR="0017710C" w:rsidRPr="008601EE">
        <w:rPr>
          <w:rFonts w:ascii="Times New Roman" w:hAnsi="Times New Roman" w:cs="Times New Roman"/>
        </w:rPr>
        <w:t>IYCF</w:t>
      </w:r>
      <w:r w:rsidR="00A662D3">
        <w:rPr>
          <w:rFonts w:ascii="Times New Roman" w:hAnsi="Times New Roman" w:cs="Times New Roman"/>
        </w:rPr>
        <w:t>-MNP</w:t>
      </w:r>
      <w:r w:rsidR="0017710C" w:rsidRPr="008601EE">
        <w:rPr>
          <w:rFonts w:ascii="Times New Roman" w:hAnsi="Times New Roman" w:cs="Times New Roman"/>
        </w:rPr>
        <w:t xml:space="preserve"> interventions</w:t>
      </w:r>
      <w:r w:rsidRPr="008601EE">
        <w:rPr>
          <w:rFonts w:ascii="Times New Roman" w:hAnsi="Times New Roman" w:cs="Times New Roman"/>
        </w:rPr>
        <w:t xml:space="preserve">. </w:t>
      </w:r>
      <w:r w:rsidR="00CD5CC3">
        <w:rPr>
          <w:rFonts w:ascii="Times New Roman" w:hAnsi="Times New Roman" w:cs="Times New Roman"/>
        </w:rPr>
        <w:t xml:space="preserve">The </w:t>
      </w:r>
      <w:r w:rsidR="00DC08C4">
        <w:rPr>
          <w:rFonts w:ascii="Times New Roman" w:hAnsi="Times New Roman" w:cs="Times New Roman"/>
        </w:rPr>
        <w:t>evaluation</w:t>
      </w:r>
      <w:r w:rsidR="00A662D3">
        <w:rPr>
          <w:rFonts w:ascii="Times New Roman" w:hAnsi="Times New Roman" w:cs="Times New Roman"/>
        </w:rPr>
        <w:t xml:space="preserve"> </w:t>
      </w:r>
      <w:r w:rsidR="00CD5CC3">
        <w:rPr>
          <w:rFonts w:ascii="Times New Roman" w:hAnsi="Times New Roman" w:cs="Times New Roman"/>
        </w:rPr>
        <w:t xml:space="preserve">districts are </w:t>
      </w:r>
      <w:r w:rsidRPr="008601EE">
        <w:rPr>
          <w:rFonts w:ascii="Times New Roman" w:hAnsi="Times New Roman" w:cs="Times New Roman"/>
          <w:u w:val="single"/>
        </w:rPr>
        <w:t>Kapilvastu</w:t>
      </w:r>
      <w:r w:rsidRPr="008601EE">
        <w:rPr>
          <w:rFonts w:ascii="Times New Roman" w:hAnsi="Times New Roman" w:cs="Times New Roman"/>
        </w:rPr>
        <w:t xml:space="preserve"> in the Western region (terai) and </w:t>
      </w:r>
      <w:r w:rsidRPr="008601EE">
        <w:rPr>
          <w:rFonts w:ascii="Times New Roman" w:hAnsi="Times New Roman" w:cs="Times New Roman"/>
          <w:u w:val="single"/>
        </w:rPr>
        <w:t>Achham</w:t>
      </w:r>
      <w:r w:rsidRPr="008601EE">
        <w:rPr>
          <w:rFonts w:ascii="Times New Roman" w:hAnsi="Times New Roman" w:cs="Times New Roman"/>
        </w:rPr>
        <w:t xml:space="preserve"> in the Far Western region (hills).  Due to the large number of agencies and organizations implementing a variety of health intervention programs across Nepal, as well as limited district-level data that could be used for matching districts, it was determined that it would be extremely challenging to identify appropriate control districts</w:t>
      </w:r>
      <w:r w:rsidR="00387919">
        <w:rPr>
          <w:rFonts w:ascii="Times New Roman" w:hAnsi="Times New Roman" w:cs="Times New Roman"/>
        </w:rPr>
        <w:t xml:space="preserve">. As a result, the decision was made to </w:t>
      </w:r>
      <w:r w:rsidR="00612BD1">
        <w:rPr>
          <w:rFonts w:ascii="Times New Roman" w:hAnsi="Times New Roman" w:cs="Times New Roman"/>
        </w:rPr>
        <w:t>use internal controls</w:t>
      </w:r>
      <w:r w:rsidR="00E93811">
        <w:rPr>
          <w:rFonts w:ascii="Times New Roman" w:hAnsi="Times New Roman" w:cs="Times New Roman"/>
        </w:rPr>
        <w:t xml:space="preserve"> within each evaluation district</w:t>
      </w:r>
      <w:r w:rsidR="00612BD1">
        <w:rPr>
          <w:rFonts w:ascii="Times New Roman" w:hAnsi="Times New Roman" w:cs="Times New Roman"/>
        </w:rPr>
        <w:t xml:space="preserve">.  </w:t>
      </w:r>
    </w:p>
    <w:p w14:paraId="6500E7B5" w14:textId="0AD020B5" w:rsidR="00612BD1" w:rsidRPr="00612BD1" w:rsidRDefault="00612BD1" w:rsidP="00612BD1">
      <w:pPr>
        <w:jc w:val="both"/>
        <w:rPr>
          <w:rFonts w:ascii="Times New Roman" w:hAnsi="Times New Roman" w:cs="Times New Roman"/>
        </w:rPr>
      </w:pPr>
      <w:r w:rsidRPr="00612BD1">
        <w:rPr>
          <w:rFonts w:ascii="Times New Roman" w:hAnsi="Times New Roman" w:cs="Times New Roman"/>
        </w:rPr>
        <w:t xml:space="preserve">In analysis of the follow-up survey, in addition to pre-post comparison of changes in biological indicators and IYCF and ECD practices, children who did not receive or consume Baal Vita will be used as the control group for which to compare changes in biological indicators among children who did consume Baal Vita (both low users and high users).  The internal control analysis might also be applied to the IYCF and ECD practices.  This could potentially be carried out by considering Baal vita coverage and use as a proxy for exposure to the integrated intervention package and using the same stratification groupings (non-, low and high Baal Vita users), or by stratifying the population into those with reported IYCF or ECD counselling encounters and those without.  </w:t>
      </w:r>
    </w:p>
    <w:p w14:paraId="424E51DB" w14:textId="43CDCC9B" w:rsidR="009932C8" w:rsidRPr="008601EE" w:rsidRDefault="009932C8" w:rsidP="009932C8">
      <w:pPr>
        <w:rPr>
          <w:rFonts w:ascii="Times New Roman" w:hAnsi="Times New Roman" w:cs="Times New Roman"/>
        </w:rPr>
      </w:pPr>
      <w:r w:rsidRPr="008601EE">
        <w:rPr>
          <w:rFonts w:ascii="Times New Roman" w:hAnsi="Times New Roman" w:cs="Times New Roman"/>
          <w:i/>
        </w:rPr>
        <w:t>Target Population</w:t>
      </w:r>
      <w:r w:rsidR="000C306D" w:rsidRPr="008601EE">
        <w:rPr>
          <w:rFonts w:ascii="Times New Roman" w:hAnsi="Times New Roman" w:cs="Times New Roman"/>
          <w:i/>
        </w:rPr>
        <w:t xml:space="preserve">: </w:t>
      </w:r>
      <w:r w:rsidRPr="008601EE">
        <w:rPr>
          <w:rFonts w:ascii="Times New Roman" w:hAnsi="Times New Roman" w:cs="Times New Roman"/>
        </w:rPr>
        <w:t>Children 6–2</w:t>
      </w:r>
      <w:r w:rsidR="00612BD1">
        <w:rPr>
          <w:rFonts w:ascii="Times New Roman" w:hAnsi="Times New Roman" w:cs="Times New Roman"/>
        </w:rPr>
        <w:t>3</w:t>
      </w:r>
      <w:r w:rsidRPr="008601EE">
        <w:rPr>
          <w:rFonts w:ascii="Times New Roman" w:hAnsi="Times New Roman" w:cs="Times New Roman"/>
        </w:rPr>
        <w:t xml:space="preserve"> months of age. </w:t>
      </w:r>
    </w:p>
    <w:p w14:paraId="51A71540" w14:textId="77777777" w:rsidR="009932C8" w:rsidRPr="008601EE" w:rsidRDefault="009932C8" w:rsidP="009932C8">
      <w:pPr>
        <w:rPr>
          <w:rFonts w:ascii="Times New Roman" w:hAnsi="Times New Roman" w:cs="Times New Roman"/>
          <w:i/>
        </w:rPr>
      </w:pPr>
      <w:r w:rsidRPr="008601EE">
        <w:rPr>
          <w:rFonts w:ascii="Times New Roman" w:hAnsi="Times New Roman" w:cs="Times New Roman"/>
          <w:i/>
        </w:rPr>
        <w:t>Data Collection</w:t>
      </w:r>
    </w:p>
    <w:p w14:paraId="11E71829" w14:textId="77777777" w:rsidR="009932C8" w:rsidRPr="00763885" w:rsidRDefault="009932C8" w:rsidP="001312CE">
      <w:pPr>
        <w:pStyle w:val="ListParagraph"/>
        <w:ind w:left="0"/>
        <w:jc w:val="both"/>
        <w:rPr>
          <w:sz w:val="22"/>
        </w:rPr>
      </w:pPr>
      <w:r w:rsidRPr="00763885">
        <w:rPr>
          <w:sz w:val="22"/>
        </w:rPr>
        <w:t xml:space="preserve">Administered questionnaires with the mother or caretaker will collect information on the target child.  Measures of recumbent length and weight, and a venous blood sample will also be collected from each target child.  </w:t>
      </w:r>
    </w:p>
    <w:p w14:paraId="6996A38D" w14:textId="77777777" w:rsidR="009932C8" w:rsidRPr="008601EE" w:rsidRDefault="009932C8" w:rsidP="009932C8">
      <w:pPr>
        <w:pStyle w:val="ListParagraph"/>
        <w:ind w:left="0"/>
      </w:pPr>
    </w:p>
    <w:p w14:paraId="530D3D13" w14:textId="77777777" w:rsidR="009932C8" w:rsidRPr="008601EE" w:rsidRDefault="009932C8" w:rsidP="009932C8">
      <w:pPr>
        <w:rPr>
          <w:rFonts w:ascii="Times New Roman" w:hAnsi="Times New Roman" w:cs="Times New Roman"/>
          <w:i/>
        </w:rPr>
      </w:pPr>
      <w:r w:rsidRPr="008601EE">
        <w:rPr>
          <w:rFonts w:ascii="Times New Roman" w:hAnsi="Times New Roman" w:cs="Times New Roman"/>
          <w:i/>
        </w:rPr>
        <w:t xml:space="preserve">Biological Indicators Assessed </w:t>
      </w:r>
    </w:p>
    <w:p w14:paraId="3DECEE79" w14:textId="34DAD682" w:rsidR="009932C8" w:rsidRPr="008601EE" w:rsidRDefault="009932C8" w:rsidP="001312CE">
      <w:pPr>
        <w:jc w:val="both"/>
        <w:rPr>
          <w:rFonts w:ascii="Times New Roman" w:hAnsi="Times New Roman" w:cs="Times New Roman"/>
        </w:rPr>
      </w:pPr>
      <w:r w:rsidRPr="008601EE">
        <w:rPr>
          <w:rFonts w:ascii="Times New Roman" w:hAnsi="Times New Roman" w:cs="Times New Roman"/>
        </w:rPr>
        <w:t xml:space="preserve">Table 1 describes the biological indicators proposed to be collected in the impact evaluation </w:t>
      </w:r>
      <w:r w:rsidR="00DC08C4">
        <w:rPr>
          <w:rFonts w:ascii="Times New Roman" w:hAnsi="Times New Roman" w:cs="Times New Roman"/>
        </w:rPr>
        <w:t>follow-up</w:t>
      </w:r>
      <w:r w:rsidR="00DC08C4" w:rsidRPr="008601EE">
        <w:rPr>
          <w:rFonts w:ascii="Times New Roman" w:hAnsi="Times New Roman" w:cs="Times New Roman"/>
        </w:rPr>
        <w:t xml:space="preserve"> </w:t>
      </w:r>
      <w:r w:rsidRPr="008601EE">
        <w:rPr>
          <w:rFonts w:ascii="Times New Roman" w:hAnsi="Times New Roman" w:cs="Times New Roman"/>
        </w:rPr>
        <w:t xml:space="preserve">survey.  Most of the indicators will provide representative estimates of micronutrient deficiency for each of the selected districts.  The exception includes the assessment of vitamin A liver reserves using the modified relative dose response (MRDR) which will not report a prevalence of vitamin A deficiency, but instead will report a change in liver stores from the baseline to the follow-up survey.  </w:t>
      </w:r>
    </w:p>
    <w:p w14:paraId="4585795D" w14:textId="39572EB2" w:rsidR="009932C8" w:rsidRPr="008601EE" w:rsidRDefault="009932C8" w:rsidP="009932C8">
      <w:pPr>
        <w:rPr>
          <w:rFonts w:ascii="Times New Roman" w:hAnsi="Times New Roman" w:cs="Times New Roman"/>
          <w:b/>
        </w:rPr>
      </w:pPr>
      <w:r w:rsidRPr="008601EE">
        <w:rPr>
          <w:rFonts w:ascii="Times New Roman" w:hAnsi="Times New Roman" w:cs="Times New Roman"/>
          <w:b/>
        </w:rPr>
        <w:t xml:space="preserve">Table 1. Impact evaluation for IYCF/BV &amp; </w:t>
      </w:r>
      <w:r w:rsidR="0017710C" w:rsidRPr="008601EE">
        <w:rPr>
          <w:rFonts w:ascii="Times New Roman" w:hAnsi="Times New Roman" w:cs="Times New Roman"/>
          <w:b/>
        </w:rPr>
        <w:t>EU MYCNSIA project 6-2</w:t>
      </w:r>
      <w:r w:rsidR="006A6B48">
        <w:rPr>
          <w:rFonts w:ascii="Times New Roman" w:hAnsi="Times New Roman" w:cs="Times New Roman"/>
          <w:b/>
        </w:rPr>
        <w:t>3</w:t>
      </w:r>
      <w:r w:rsidR="0017710C" w:rsidRPr="008601EE">
        <w:rPr>
          <w:rFonts w:ascii="Times New Roman" w:hAnsi="Times New Roman" w:cs="Times New Roman"/>
          <w:b/>
        </w:rPr>
        <w:t xml:space="preserve"> months:  </w:t>
      </w:r>
      <w:r w:rsidRPr="008601EE">
        <w:rPr>
          <w:rFonts w:ascii="Times New Roman" w:hAnsi="Times New Roman" w:cs="Times New Roman"/>
          <w:b/>
        </w:rPr>
        <w:t>Biological Indicators and Tests</w:t>
      </w:r>
    </w:p>
    <w:tbl>
      <w:tblPr>
        <w:tblStyle w:val="TableGrid"/>
        <w:tblW w:w="0" w:type="auto"/>
        <w:tblLook w:val="04A0" w:firstRow="1" w:lastRow="0" w:firstColumn="1" w:lastColumn="0" w:noHBand="0" w:noVBand="1"/>
      </w:tblPr>
      <w:tblGrid>
        <w:gridCol w:w="2268"/>
        <w:gridCol w:w="3827"/>
        <w:gridCol w:w="2761"/>
      </w:tblGrid>
      <w:tr w:rsidR="009932C8" w:rsidRPr="008601EE" w14:paraId="70044283" w14:textId="77777777" w:rsidTr="00540395">
        <w:tc>
          <w:tcPr>
            <w:tcW w:w="2268" w:type="dxa"/>
            <w:shd w:val="clear" w:color="auto" w:fill="DDD9C3" w:themeFill="background2" w:themeFillShade="E6"/>
          </w:tcPr>
          <w:p w14:paraId="2C8DC3B9"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Nutrient or Condition</w:t>
            </w:r>
          </w:p>
        </w:tc>
        <w:tc>
          <w:tcPr>
            <w:tcW w:w="3827" w:type="dxa"/>
            <w:shd w:val="clear" w:color="auto" w:fill="DDD9C3" w:themeFill="background2" w:themeFillShade="E6"/>
          </w:tcPr>
          <w:p w14:paraId="559A4900"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Test</w:t>
            </w:r>
          </w:p>
        </w:tc>
        <w:tc>
          <w:tcPr>
            <w:tcW w:w="2761" w:type="dxa"/>
            <w:shd w:val="clear" w:color="auto" w:fill="DDD9C3" w:themeFill="background2" w:themeFillShade="E6"/>
          </w:tcPr>
          <w:p w14:paraId="1AEF7911"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Method</w:t>
            </w:r>
          </w:p>
        </w:tc>
      </w:tr>
      <w:tr w:rsidR="009932C8" w:rsidRPr="008601EE" w14:paraId="0DD76911" w14:textId="77777777" w:rsidTr="00540395">
        <w:tc>
          <w:tcPr>
            <w:tcW w:w="2268" w:type="dxa"/>
          </w:tcPr>
          <w:p w14:paraId="6E788469"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 xml:space="preserve">Anemia </w:t>
            </w:r>
          </w:p>
        </w:tc>
        <w:tc>
          <w:tcPr>
            <w:tcW w:w="3827" w:type="dxa"/>
          </w:tcPr>
          <w:p w14:paraId="207CB4D8"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Hemoglobin</w:t>
            </w:r>
          </w:p>
        </w:tc>
        <w:tc>
          <w:tcPr>
            <w:tcW w:w="2761" w:type="dxa"/>
          </w:tcPr>
          <w:p w14:paraId="6B329051"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HemoCue®</w:t>
            </w:r>
          </w:p>
        </w:tc>
      </w:tr>
      <w:tr w:rsidR="009932C8" w:rsidRPr="008601EE" w14:paraId="0C1BF1DC" w14:textId="77777777" w:rsidTr="00540395">
        <w:tc>
          <w:tcPr>
            <w:tcW w:w="2268" w:type="dxa"/>
          </w:tcPr>
          <w:p w14:paraId="1BE66B8C"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Iron status</w:t>
            </w:r>
          </w:p>
        </w:tc>
        <w:tc>
          <w:tcPr>
            <w:tcW w:w="3827" w:type="dxa"/>
          </w:tcPr>
          <w:p w14:paraId="71B8A070"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Ferritin</w:t>
            </w:r>
          </w:p>
          <w:p w14:paraId="52EFECEF"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Soluble transferrin receptor (sTfR)</w:t>
            </w:r>
          </w:p>
        </w:tc>
        <w:tc>
          <w:tcPr>
            <w:tcW w:w="2761" w:type="dxa"/>
          </w:tcPr>
          <w:p w14:paraId="59617D97"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ELISA*</w:t>
            </w:r>
          </w:p>
        </w:tc>
      </w:tr>
      <w:tr w:rsidR="009932C8" w:rsidRPr="008601EE" w14:paraId="0558C1D3" w14:textId="77777777" w:rsidTr="00540395">
        <w:tc>
          <w:tcPr>
            <w:tcW w:w="2268" w:type="dxa"/>
          </w:tcPr>
          <w:p w14:paraId="271A3CE5"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Vitamin A</w:t>
            </w:r>
          </w:p>
        </w:tc>
        <w:tc>
          <w:tcPr>
            <w:tcW w:w="3827" w:type="dxa"/>
          </w:tcPr>
          <w:p w14:paraId="349EEAF8"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Retinol binding protein</w:t>
            </w:r>
          </w:p>
          <w:p w14:paraId="4FA8F466"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MRDR† &amp; retinol (subsample)</w:t>
            </w:r>
          </w:p>
        </w:tc>
        <w:tc>
          <w:tcPr>
            <w:tcW w:w="2761" w:type="dxa"/>
          </w:tcPr>
          <w:p w14:paraId="1FB4D1C3"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ELISA*</w:t>
            </w:r>
          </w:p>
          <w:p w14:paraId="76DFDE1C"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 xml:space="preserve">HPLC† </w:t>
            </w:r>
          </w:p>
        </w:tc>
      </w:tr>
      <w:tr w:rsidR="009932C8" w:rsidRPr="008601EE" w14:paraId="3466FB69" w14:textId="77777777" w:rsidTr="00540395">
        <w:tc>
          <w:tcPr>
            <w:tcW w:w="2268" w:type="dxa"/>
          </w:tcPr>
          <w:p w14:paraId="391073A0"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Folic acid</w:t>
            </w:r>
          </w:p>
        </w:tc>
        <w:tc>
          <w:tcPr>
            <w:tcW w:w="3827" w:type="dxa"/>
          </w:tcPr>
          <w:p w14:paraId="47308EE7"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RBC folate</w:t>
            </w:r>
          </w:p>
        </w:tc>
        <w:tc>
          <w:tcPr>
            <w:tcW w:w="2761" w:type="dxa"/>
          </w:tcPr>
          <w:p w14:paraId="2CE6FC3A" w14:textId="7098ED02" w:rsidR="009932C8" w:rsidRPr="008601EE" w:rsidRDefault="004216E0" w:rsidP="00540395">
            <w:pPr>
              <w:rPr>
                <w:rFonts w:ascii="Times New Roman" w:hAnsi="Times New Roman" w:cs="Times New Roman"/>
                <w:sz w:val="18"/>
                <w:szCs w:val="18"/>
              </w:rPr>
            </w:pPr>
            <w:r>
              <w:rPr>
                <w:rFonts w:ascii="Times New Roman" w:hAnsi="Times New Roman" w:cs="Times New Roman"/>
                <w:sz w:val="18"/>
                <w:szCs w:val="18"/>
              </w:rPr>
              <w:t>Folate Microbiological Assay</w:t>
            </w:r>
          </w:p>
        </w:tc>
      </w:tr>
      <w:tr w:rsidR="009932C8" w:rsidRPr="008601EE" w14:paraId="0BC6C13E" w14:textId="77777777" w:rsidTr="00540395">
        <w:tc>
          <w:tcPr>
            <w:tcW w:w="2268" w:type="dxa"/>
          </w:tcPr>
          <w:p w14:paraId="6DC7C9C7"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Vitamin B</w:t>
            </w:r>
            <w:r w:rsidRPr="008601EE">
              <w:rPr>
                <w:rFonts w:ascii="Times New Roman" w:hAnsi="Times New Roman" w:cs="Times New Roman"/>
                <w:sz w:val="18"/>
                <w:szCs w:val="18"/>
                <w:vertAlign w:val="subscript"/>
              </w:rPr>
              <w:t>12</w:t>
            </w:r>
          </w:p>
        </w:tc>
        <w:tc>
          <w:tcPr>
            <w:tcW w:w="3827" w:type="dxa"/>
          </w:tcPr>
          <w:p w14:paraId="2494C0F2"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Serum B</w:t>
            </w:r>
            <w:r w:rsidRPr="008601EE">
              <w:rPr>
                <w:rFonts w:ascii="Times New Roman" w:hAnsi="Times New Roman" w:cs="Times New Roman"/>
                <w:sz w:val="18"/>
                <w:szCs w:val="18"/>
                <w:vertAlign w:val="subscript"/>
              </w:rPr>
              <w:t>12</w:t>
            </w:r>
          </w:p>
        </w:tc>
        <w:tc>
          <w:tcPr>
            <w:tcW w:w="2761" w:type="dxa"/>
          </w:tcPr>
          <w:p w14:paraId="79BABBE2"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IMMULITE® 1000 (Chemiluminescence)</w:t>
            </w:r>
          </w:p>
        </w:tc>
      </w:tr>
      <w:tr w:rsidR="009932C8" w:rsidRPr="008601EE" w14:paraId="366D7B60" w14:textId="77777777" w:rsidTr="00540395">
        <w:tc>
          <w:tcPr>
            <w:tcW w:w="2268" w:type="dxa"/>
          </w:tcPr>
          <w:p w14:paraId="62F02FFA"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Zinc</w:t>
            </w:r>
          </w:p>
        </w:tc>
        <w:tc>
          <w:tcPr>
            <w:tcW w:w="3827" w:type="dxa"/>
          </w:tcPr>
          <w:p w14:paraId="336D7C76"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 xml:space="preserve">Serum zinc </w:t>
            </w:r>
          </w:p>
        </w:tc>
        <w:tc>
          <w:tcPr>
            <w:tcW w:w="2761" w:type="dxa"/>
          </w:tcPr>
          <w:p w14:paraId="0A4C9143"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ICP-MS</w:t>
            </w:r>
          </w:p>
        </w:tc>
      </w:tr>
      <w:tr w:rsidR="009932C8" w:rsidRPr="008601EE" w14:paraId="291C86E0" w14:textId="77777777" w:rsidTr="00540395">
        <w:tc>
          <w:tcPr>
            <w:tcW w:w="2268" w:type="dxa"/>
          </w:tcPr>
          <w:p w14:paraId="2122E905"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Malaria</w:t>
            </w:r>
          </w:p>
        </w:tc>
        <w:tc>
          <w:tcPr>
            <w:tcW w:w="3827" w:type="dxa"/>
          </w:tcPr>
          <w:p w14:paraId="535221CF"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 xml:space="preserve">Differential diagnosis of </w:t>
            </w:r>
            <w:r w:rsidRPr="008601EE">
              <w:rPr>
                <w:rFonts w:ascii="Times New Roman" w:hAnsi="Times New Roman" w:cs="Times New Roman"/>
                <w:i/>
                <w:sz w:val="18"/>
                <w:szCs w:val="18"/>
              </w:rPr>
              <w:t>P. falciparum</w:t>
            </w:r>
            <w:r w:rsidRPr="008601EE">
              <w:rPr>
                <w:rFonts w:ascii="Times New Roman" w:hAnsi="Times New Roman" w:cs="Times New Roman"/>
                <w:sz w:val="18"/>
                <w:szCs w:val="18"/>
              </w:rPr>
              <w:t xml:space="preserve"> and </w:t>
            </w:r>
            <w:r w:rsidRPr="008601EE">
              <w:rPr>
                <w:rFonts w:ascii="Times New Roman" w:hAnsi="Times New Roman" w:cs="Times New Roman"/>
                <w:i/>
                <w:sz w:val="18"/>
                <w:szCs w:val="18"/>
              </w:rPr>
              <w:t>P.vivax</w:t>
            </w:r>
            <w:r w:rsidRPr="008601EE">
              <w:rPr>
                <w:rFonts w:ascii="Times New Roman" w:hAnsi="Times New Roman" w:cs="Times New Roman"/>
                <w:sz w:val="18"/>
                <w:szCs w:val="18"/>
              </w:rPr>
              <w:t xml:space="preserve"> species</w:t>
            </w:r>
            <w:r w:rsidRPr="008601EE">
              <w:rPr>
                <w:rFonts w:ascii="Times New Roman" w:hAnsi="Times New Roman" w:cs="Times New Roman"/>
                <w:i/>
                <w:sz w:val="18"/>
                <w:szCs w:val="18"/>
              </w:rPr>
              <w:t xml:space="preserve"> </w:t>
            </w:r>
          </w:p>
        </w:tc>
        <w:tc>
          <w:tcPr>
            <w:tcW w:w="2761" w:type="dxa"/>
          </w:tcPr>
          <w:p w14:paraId="10E7D67F"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Malaria rapid test</w:t>
            </w:r>
          </w:p>
        </w:tc>
      </w:tr>
      <w:tr w:rsidR="009932C8" w:rsidRPr="008601EE" w14:paraId="74D6AB2F" w14:textId="77777777" w:rsidTr="00540395">
        <w:tc>
          <w:tcPr>
            <w:tcW w:w="2268" w:type="dxa"/>
          </w:tcPr>
          <w:p w14:paraId="466F16D1"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Anthropometry</w:t>
            </w:r>
          </w:p>
        </w:tc>
        <w:tc>
          <w:tcPr>
            <w:tcW w:w="3827" w:type="dxa"/>
          </w:tcPr>
          <w:p w14:paraId="2ECB28CB"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Length and weight</w:t>
            </w:r>
          </w:p>
        </w:tc>
        <w:tc>
          <w:tcPr>
            <w:tcW w:w="2761" w:type="dxa"/>
          </w:tcPr>
          <w:p w14:paraId="42E8B78E"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Shorr board and electronic scales</w:t>
            </w:r>
          </w:p>
        </w:tc>
      </w:tr>
      <w:tr w:rsidR="009932C8" w:rsidRPr="008601EE" w14:paraId="5BFE9EAF" w14:textId="77777777" w:rsidTr="00540395">
        <w:tc>
          <w:tcPr>
            <w:tcW w:w="2268" w:type="dxa"/>
          </w:tcPr>
          <w:p w14:paraId="6A7219CA"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 xml:space="preserve">Inflammation </w:t>
            </w:r>
          </w:p>
        </w:tc>
        <w:tc>
          <w:tcPr>
            <w:tcW w:w="3827" w:type="dxa"/>
          </w:tcPr>
          <w:p w14:paraId="365453FE"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C-reactive protein (CRP)</w:t>
            </w:r>
          </w:p>
          <w:p w14:paraId="5C27098B"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Alpha-1-acid glycoprotein (AGP)</w:t>
            </w:r>
          </w:p>
        </w:tc>
        <w:tc>
          <w:tcPr>
            <w:tcW w:w="2761" w:type="dxa"/>
          </w:tcPr>
          <w:p w14:paraId="60A60444" w14:textId="77777777" w:rsidR="009932C8" w:rsidRPr="008601EE" w:rsidRDefault="009932C8" w:rsidP="00540395">
            <w:pPr>
              <w:rPr>
                <w:rFonts w:ascii="Times New Roman" w:hAnsi="Times New Roman" w:cs="Times New Roman"/>
                <w:sz w:val="18"/>
                <w:szCs w:val="18"/>
              </w:rPr>
            </w:pPr>
            <w:r w:rsidRPr="008601EE">
              <w:rPr>
                <w:rFonts w:ascii="Times New Roman" w:hAnsi="Times New Roman" w:cs="Times New Roman"/>
                <w:sz w:val="18"/>
                <w:szCs w:val="18"/>
              </w:rPr>
              <w:t>ELISA*</w:t>
            </w:r>
          </w:p>
        </w:tc>
      </w:tr>
    </w:tbl>
    <w:p w14:paraId="521A94B0" w14:textId="77777777" w:rsidR="009932C8" w:rsidRPr="008601EE" w:rsidRDefault="009932C8" w:rsidP="0056713E">
      <w:pPr>
        <w:spacing w:after="0"/>
        <w:rPr>
          <w:rFonts w:ascii="Times New Roman" w:hAnsi="Times New Roman" w:cs="Times New Roman"/>
          <w:sz w:val="16"/>
          <w:szCs w:val="16"/>
        </w:rPr>
      </w:pPr>
      <w:r w:rsidRPr="008601EE">
        <w:rPr>
          <w:rFonts w:ascii="Times New Roman" w:hAnsi="Times New Roman" w:cs="Times New Roman"/>
          <w:sz w:val="16"/>
          <w:szCs w:val="16"/>
        </w:rPr>
        <w:t>*ELISA includes indicators of iron, vitamin A, and inflammation: ferritin, soluble transferrin receptor (sTfR), retinol binding protein (RBP), C-reactive protein (CRP), and alpha 1-acid glycoprotein (AGP).</w:t>
      </w:r>
    </w:p>
    <w:p w14:paraId="60C6FA1A" w14:textId="77777777" w:rsidR="009932C8" w:rsidRPr="008601EE" w:rsidRDefault="009932C8" w:rsidP="0056713E">
      <w:pPr>
        <w:spacing w:after="0"/>
        <w:rPr>
          <w:rFonts w:ascii="Times New Roman" w:hAnsi="Times New Roman" w:cs="Times New Roman"/>
          <w:sz w:val="16"/>
          <w:szCs w:val="16"/>
        </w:rPr>
      </w:pPr>
      <w:r w:rsidRPr="008601EE">
        <w:rPr>
          <w:rFonts w:ascii="Times New Roman" w:hAnsi="Times New Roman" w:cs="Times New Roman"/>
          <w:sz w:val="16"/>
          <w:szCs w:val="16"/>
          <w:vertAlign w:val="superscript"/>
        </w:rPr>
        <w:t>†</w:t>
      </w:r>
      <w:r w:rsidRPr="008601EE">
        <w:rPr>
          <w:rFonts w:ascii="Times New Roman" w:hAnsi="Times New Roman" w:cs="Times New Roman"/>
          <w:sz w:val="16"/>
          <w:szCs w:val="16"/>
        </w:rPr>
        <w:t>MRDR, modified relative-dose-response test. This test requires consuming a small challenge dose of a retinol analog along with a fatty snack, and collecting a blood sample 4 to 6 hours later (Tanumihardjo, 2011).</w:t>
      </w:r>
    </w:p>
    <w:p w14:paraId="4C75B34D" w14:textId="77777777" w:rsidR="0056713E" w:rsidRPr="0056713E" w:rsidRDefault="0056713E" w:rsidP="009932C8">
      <w:pPr>
        <w:rPr>
          <w:rFonts w:ascii="Times New Roman" w:hAnsi="Times New Roman" w:cs="Times New Roman"/>
          <w:i/>
          <w:sz w:val="2"/>
        </w:rPr>
      </w:pPr>
    </w:p>
    <w:p w14:paraId="295DB824" w14:textId="77777777" w:rsidR="00BA4C6B" w:rsidRPr="002E0981" w:rsidRDefault="00BA4C6B" w:rsidP="00BA4C6B">
      <w:pPr>
        <w:spacing w:after="0" w:line="240" w:lineRule="auto"/>
        <w:rPr>
          <w:rFonts w:ascii="Times New Roman" w:eastAsia="Times New Roman" w:hAnsi="Times New Roman" w:cs="Times New Roman"/>
          <w:i/>
          <w:lang w:val="en-US"/>
        </w:rPr>
      </w:pPr>
      <w:r w:rsidRPr="002E0981">
        <w:rPr>
          <w:rFonts w:ascii="Times New Roman" w:eastAsia="Times New Roman" w:hAnsi="Times New Roman" w:cs="Times New Roman"/>
          <w:i/>
          <w:lang w:val="en-US"/>
        </w:rPr>
        <w:t>Sample Size Estimates</w:t>
      </w:r>
    </w:p>
    <w:p w14:paraId="50B65A60" w14:textId="77777777" w:rsidR="00637BCE" w:rsidRPr="002E0981" w:rsidRDefault="00637BCE" w:rsidP="00BA4C6B">
      <w:pPr>
        <w:spacing w:after="0" w:line="240" w:lineRule="auto"/>
        <w:rPr>
          <w:rFonts w:ascii="Times New Roman" w:eastAsia="Times New Roman" w:hAnsi="Times New Roman" w:cs="Times New Roman"/>
          <w:i/>
          <w:lang w:val="en-US"/>
        </w:rPr>
      </w:pPr>
    </w:p>
    <w:p w14:paraId="0B6E1606" w14:textId="4DE3C83B" w:rsidR="00BA4C6B" w:rsidRPr="002E0981" w:rsidRDefault="00BA4C6B" w:rsidP="00BA4C6B">
      <w:pPr>
        <w:spacing w:after="0" w:line="240" w:lineRule="auto"/>
        <w:rPr>
          <w:rFonts w:ascii="Times New Roman" w:eastAsia="Times New Roman" w:hAnsi="Times New Roman" w:cs="Times New Roman"/>
          <w:lang w:val="en-US"/>
        </w:rPr>
      </w:pPr>
      <w:r w:rsidRPr="002E0981">
        <w:rPr>
          <w:rFonts w:ascii="Times New Roman" w:eastAsia="Times New Roman" w:hAnsi="Times New Roman" w:cs="Times New Roman"/>
          <w:lang w:val="en-US"/>
        </w:rPr>
        <w:t xml:space="preserve">The follow-up survey originally intended to use non-MNP users as internal controls and calculate sample sizes separately for Baal Vita non-users (control), low-users, or high- users.  Because of the high coverage and adherence estimates from internal monitoring data after the first distribution in 2013, we assume this will not be possible for the follow-up survey and designed the follow-up survey based on expected change in prevalence from baseline to follow-up.  </w:t>
      </w:r>
    </w:p>
    <w:p w14:paraId="194F8899" w14:textId="77777777" w:rsidR="00BA4C6B" w:rsidRPr="002E0981" w:rsidRDefault="00BA4C6B" w:rsidP="00BA4C6B">
      <w:pPr>
        <w:spacing w:after="0" w:line="240" w:lineRule="auto"/>
        <w:rPr>
          <w:rFonts w:ascii="Times New Roman" w:eastAsia="Times New Roman" w:hAnsi="Times New Roman" w:cs="Times New Roman"/>
          <w:lang w:val="en-US"/>
        </w:rPr>
      </w:pPr>
    </w:p>
    <w:p w14:paraId="1B3813B3" w14:textId="7EB5FB4C" w:rsidR="00BA4C6B" w:rsidRPr="002E0981" w:rsidRDefault="00BA4C6B" w:rsidP="00BA4C6B">
      <w:pPr>
        <w:spacing w:after="0" w:line="240" w:lineRule="auto"/>
        <w:rPr>
          <w:rFonts w:ascii="Times New Roman" w:eastAsia="Times New Roman" w:hAnsi="Times New Roman" w:cs="Times New Roman"/>
          <w:lang w:val="en-US"/>
        </w:rPr>
      </w:pPr>
      <w:r w:rsidRPr="002E0981">
        <w:rPr>
          <w:rFonts w:ascii="Times New Roman" w:eastAsia="Times New Roman" w:hAnsi="Times New Roman" w:cs="Times New Roman"/>
          <w:lang w:val="en-US"/>
        </w:rPr>
        <w:lastRenderedPageBreak/>
        <w:t>We used the results of the baseline survey data to estimate sample sizes for the follow-up survey in order to capture an approximate 10 percentage point (PP) public health significant difference for most biological indicators (total sample and among those without inflammation, where relevant) between the two surveys; this requires a total sample size of 2,662 children 6 to 23 months in the two districts</w:t>
      </w:r>
      <w:r w:rsidR="00150F5E" w:rsidRPr="002E0981">
        <w:rPr>
          <w:rFonts w:ascii="Times New Roman" w:eastAsia="Times New Roman" w:hAnsi="Times New Roman" w:cs="Times New Roman"/>
          <w:lang w:val="en-US"/>
        </w:rPr>
        <w:t xml:space="preserve"> (Achham 1,305 children; Kapilvastu 1,357 children)</w:t>
      </w:r>
      <w:r w:rsidRPr="002E0981">
        <w:rPr>
          <w:rFonts w:ascii="Times New Roman" w:eastAsia="Times New Roman" w:hAnsi="Times New Roman" w:cs="Times New Roman"/>
          <w:lang w:val="en-US"/>
        </w:rPr>
        <w:t>.</w:t>
      </w:r>
    </w:p>
    <w:p w14:paraId="515883C2" w14:textId="77777777" w:rsidR="00BA4C6B" w:rsidRPr="002E0981" w:rsidRDefault="00BA4C6B" w:rsidP="00BA4C6B">
      <w:pPr>
        <w:spacing w:after="0" w:line="240" w:lineRule="auto"/>
        <w:rPr>
          <w:rFonts w:ascii="Times New Roman" w:eastAsia="Times New Roman" w:hAnsi="Times New Roman" w:cs="Times New Roman"/>
          <w:lang w:val="en-US"/>
        </w:rPr>
      </w:pPr>
    </w:p>
    <w:p w14:paraId="4BC37920" w14:textId="3821B043" w:rsidR="00BA4C6B" w:rsidRPr="002E0981" w:rsidRDefault="00BA4C6B" w:rsidP="00BA4C6B">
      <w:pPr>
        <w:spacing w:after="0" w:line="240" w:lineRule="auto"/>
        <w:rPr>
          <w:rFonts w:ascii="Times New Roman" w:eastAsia="Times New Roman" w:hAnsi="Times New Roman" w:cs="Times New Roman"/>
          <w:lang w:val="en-US"/>
        </w:rPr>
      </w:pPr>
      <w:r w:rsidRPr="002E0981">
        <w:rPr>
          <w:rFonts w:ascii="Times New Roman" w:eastAsia="Times New Roman" w:hAnsi="Times New Roman" w:cs="Times New Roman"/>
          <w:lang w:val="en-US"/>
        </w:rPr>
        <w:t xml:space="preserve">For all estimates, the assumed design effect (DEFF) was 2, with the exception of anemia which was estimated as 3.2 based on the DEFF from the baseline survey results.  The baseline household response rate was 97% and the individual response rate was 99% for the questionnaire.  Venous blood samples were successfully collected in 86% of the total attempted sample and 89% among those interviewed.  For the follow-up survey, we assume a household response rate of 95%, and individual response rate of 90%, for an overall response rate of 85.5%.  </w:t>
      </w:r>
      <w:r w:rsidR="00150F5E" w:rsidRPr="002E0981">
        <w:rPr>
          <w:rFonts w:ascii="Times New Roman" w:eastAsia="Times New Roman" w:hAnsi="Times New Roman" w:cs="Times New Roman"/>
          <w:lang w:val="en-US"/>
        </w:rPr>
        <w:t xml:space="preserve">Sample sizes were also increased for indicators influenced by inflammation by 43.5% based on the baseline survey results. </w:t>
      </w:r>
    </w:p>
    <w:p w14:paraId="26769E6D" w14:textId="77777777" w:rsidR="00637BCE" w:rsidRPr="002E0981" w:rsidRDefault="00637BCE" w:rsidP="00BA4C6B">
      <w:pPr>
        <w:spacing w:after="0" w:line="240" w:lineRule="auto"/>
        <w:rPr>
          <w:rFonts w:ascii="Times New Roman" w:eastAsia="Times New Roman" w:hAnsi="Times New Roman" w:cs="Times New Roman"/>
          <w:lang w:val="en-US"/>
        </w:rPr>
      </w:pPr>
    </w:p>
    <w:p w14:paraId="4DED6232" w14:textId="77777777" w:rsidR="002E0981" w:rsidRPr="002E0981" w:rsidRDefault="002E0981" w:rsidP="002E0981">
      <w:pPr>
        <w:jc w:val="both"/>
        <w:rPr>
          <w:rFonts w:ascii="Times New Roman" w:hAnsi="Times New Roman" w:cs="Times New Roman"/>
        </w:rPr>
      </w:pPr>
      <w:r w:rsidRPr="002E0981">
        <w:rPr>
          <w:rFonts w:ascii="Times New Roman" w:hAnsi="Times New Roman" w:cs="Times New Roman"/>
        </w:rPr>
        <w:t xml:space="preserve">The sample size for MRDR is calculated to identify mean change in liver stores and a sample size of 50 for each district will allow for the detection of an effect size of 0.52 or greater. A random sample of 50 children surveyed in each district will be selected for MRDR analysis. </w:t>
      </w:r>
    </w:p>
    <w:p w14:paraId="1EA1A1DC" w14:textId="77777777" w:rsidR="002E0981" w:rsidRDefault="002E0981" w:rsidP="002E0981">
      <w:pPr>
        <w:spacing w:after="0" w:line="240" w:lineRule="auto"/>
        <w:rPr>
          <w:rFonts w:ascii="Times New Roman" w:eastAsia="Times New Roman" w:hAnsi="Times New Roman" w:cs="Times New Roman"/>
          <w:i/>
          <w:szCs w:val="24"/>
        </w:rPr>
      </w:pPr>
      <w:r w:rsidRPr="002E0981">
        <w:rPr>
          <w:rFonts w:ascii="Times New Roman" w:eastAsia="Times New Roman" w:hAnsi="Times New Roman" w:cs="Times New Roman"/>
          <w:i/>
          <w:szCs w:val="24"/>
        </w:rPr>
        <w:t>Sampling</w:t>
      </w:r>
    </w:p>
    <w:p w14:paraId="5C40E890" w14:textId="77777777" w:rsidR="00B92122" w:rsidRPr="002E0981" w:rsidRDefault="00B92122" w:rsidP="002E0981">
      <w:pPr>
        <w:spacing w:after="0" w:line="240" w:lineRule="auto"/>
        <w:rPr>
          <w:rFonts w:ascii="Times New Roman" w:eastAsia="Times New Roman" w:hAnsi="Times New Roman" w:cs="Times New Roman"/>
          <w:i/>
          <w:szCs w:val="24"/>
        </w:rPr>
      </w:pPr>
    </w:p>
    <w:p w14:paraId="39CB367C" w14:textId="77777777" w:rsidR="002E0981" w:rsidRPr="00D916F5" w:rsidRDefault="002E0981" w:rsidP="002E0981">
      <w:pPr>
        <w:spacing w:after="0" w:line="240" w:lineRule="auto"/>
        <w:rPr>
          <w:rFonts w:ascii="Times New Roman" w:eastAsia="Times New Roman" w:hAnsi="Times New Roman" w:cs="Times New Roman"/>
          <w:szCs w:val="24"/>
        </w:rPr>
      </w:pPr>
      <w:r w:rsidRPr="00D916F5">
        <w:rPr>
          <w:rFonts w:ascii="Times New Roman" w:eastAsia="Times New Roman" w:hAnsi="Times New Roman" w:cs="Times New Roman"/>
          <w:szCs w:val="24"/>
        </w:rPr>
        <w:t>The same 80 clusters are used in the baseline and follow-up survey as part of the evaluation design.  In rural areas, clusters are often defined as wards and in urban areas clusters are often defined as sub-wards.  In the first stage of sampling for this evaluation, a total of 40 clusters per district (strata) were selected using population proportion to size (PPS) which provided a total of 80 clusters selected overall.  Due to the large number of target aged children to be selected per cluster (32 in Achham (hills) and 34 in Kapilvastu (terai) in the baseline and 33 in Achham and 34 in Kapilvastu for the follow-up), wards and sub-wards were combined before the first stage of sampling to ensure sufficient numbers of target aged children could be identified in each cluster.</w:t>
      </w:r>
    </w:p>
    <w:p w14:paraId="43F60A6A" w14:textId="77777777" w:rsidR="002E0981" w:rsidRPr="00D916F5" w:rsidRDefault="002E0981" w:rsidP="002E0981">
      <w:pPr>
        <w:spacing w:after="0" w:line="240" w:lineRule="auto"/>
        <w:rPr>
          <w:rFonts w:ascii="Times New Roman" w:eastAsia="Times New Roman" w:hAnsi="Times New Roman" w:cs="Times New Roman"/>
          <w:szCs w:val="24"/>
        </w:rPr>
      </w:pPr>
    </w:p>
    <w:p w14:paraId="50FA5667" w14:textId="77777777" w:rsidR="002E0981" w:rsidRPr="00D916F5" w:rsidRDefault="002E0981" w:rsidP="002E0981">
      <w:pPr>
        <w:spacing w:after="0" w:line="240" w:lineRule="auto"/>
        <w:rPr>
          <w:rFonts w:ascii="Times New Roman" w:eastAsia="Times New Roman" w:hAnsi="Times New Roman" w:cs="Times New Roman"/>
          <w:szCs w:val="24"/>
        </w:rPr>
      </w:pPr>
      <w:r w:rsidRPr="00D916F5">
        <w:rPr>
          <w:rFonts w:ascii="Times New Roman" w:eastAsia="Times New Roman" w:hAnsi="Times New Roman" w:cs="Times New Roman"/>
          <w:szCs w:val="24"/>
        </w:rPr>
        <w:t xml:space="preserve">In the second stage of sampling, a census is conducted in each of the selected clusters to identify all households with children 6–23 months.  Simple random sampling will then be carried out to select 33 children per cluster in Accham district and 34 children per cluster in Kapilvastu district for the follow-up survey.  In each cluster, the first eligible child 6-11 months, 12-17 months and 18-23 months selected (total of 3 children per cluster) will be invited to participate in the assessment of MRDR, which will result in a sample size of 120 children per district and 240 children total.    </w:t>
      </w:r>
    </w:p>
    <w:p w14:paraId="2ED19BB7" w14:textId="77777777" w:rsidR="002E0981" w:rsidRPr="00D916F5" w:rsidRDefault="002E0981" w:rsidP="002E0981">
      <w:pPr>
        <w:spacing w:after="0" w:line="240" w:lineRule="auto"/>
        <w:rPr>
          <w:rFonts w:ascii="Times New Roman" w:eastAsia="Times New Roman" w:hAnsi="Times New Roman" w:cs="Times New Roman"/>
          <w:szCs w:val="24"/>
        </w:rPr>
      </w:pPr>
    </w:p>
    <w:p w14:paraId="2FA89357" w14:textId="3A4F7D58" w:rsidR="00637BCE" w:rsidRPr="004216E0" w:rsidRDefault="002E0981" w:rsidP="002E0981">
      <w:pPr>
        <w:spacing w:after="0" w:line="240" w:lineRule="auto"/>
        <w:rPr>
          <w:rFonts w:ascii="Times New Roman" w:eastAsia="Times New Roman" w:hAnsi="Times New Roman" w:cs="Times New Roman"/>
          <w:szCs w:val="24"/>
        </w:rPr>
      </w:pPr>
      <w:r w:rsidRPr="00D916F5">
        <w:rPr>
          <w:rFonts w:ascii="Times New Roman" w:eastAsia="Times New Roman" w:hAnsi="Times New Roman" w:cs="Times New Roman"/>
          <w:szCs w:val="24"/>
        </w:rPr>
        <w:lastRenderedPageBreak/>
        <w:t>In each cluster, households of selected children will be visited and mothers/caregivers will be invited to participate in the survey; all data collection will occur in the household. As appropriate, community leaders, female community health volunteers (FCHVs), and other local health facility staff will help promote the survey and explain the importance of the survey to mothers.  In-country partners will need to determine whether additional permissions or community mobilization are needed.  If any clusters have less than the target number of eligible children (33 in Achham and 34 in Kapilvastu), then all eligible children will be approached for enrollment.  There will be no replacement of children if less than the target number of children are available or if mothers/caregivers refuse to participate in the survey.  There will be no replacement of clusters if community leaders refuse to participate in the survey or clusters are inaccessible due to natural disasters or unrest.</w:t>
      </w:r>
    </w:p>
    <w:p w14:paraId="56CE789B" w14:textId="77777777" w:rsidR="00BA4C6B" w:rsidRPr="00BA4C6B" w:rsidRDefault="00BA4C6B" w:rsidP="00BA4C6B">
      <w:pPr>
        <w:spacing w:after="0" w:line="240" w:lineRule="auto"/>
        <w:rPr>
          <w:rFonts w:ascii="Times New Roman" w:eastAsia="Times New Roman" w:hAnsi="Times New Roman" w:cs="Times New Roman"/>
          <w:sz w:val="24"/>
          <w:szCs w:val="24"/>
          <w:lang w:val="en-US"/>
        </w:rPr>
      </w:pPr>
    </w:p>
    <w:p w14:paraId="7AE90EFF" w14:textId="68B5E299" w:rsidR="009932C8" w:rsidRPr="005D0646" w:rsidRDefault="009932C8" w:rsidP="009932C8">
      <w:pPr>
        <w:rPr>
          <w:rFonts w:ascii="Times New Roman" w:hAnsi="Times New Roman" w:cs="Times New Roman"/>
          <w:b/>
        </w:rPr>
      </w:pPr>
      <w:r w:rsidRPr="004216E0">
        <w:rPr>
          <w:rFonts w:ascii="Times New Roman" w:hAnsi="Times New Roman" w:cs="Times New Roman"/>
          <w:b/>
          <w:i/>
        </w:rPr>
        <w:t xml:space="preserve">Proposed Field Teams </w:t>
      </w:r>
      <w:r w:rsidR="005D0646" w:rsidRPr="005D0646">
        <w:rPr>
          <w:rFonts w:ascii="Times New Roman" w:hAnsi="Times New Roman" w:cs="Times New Roman"/>
          <w:b/>
          <w:highlight w:val="yellow"/>
        </w:rPr>
        <w:t>(Update based on survey size and budget)</w:t>
      </w:r>
    </w:p>
    <w:p w14:paraId="59F134C9" w14:textId="77777777" w:rsidR="009932C8" w:rsidRPr="00B14505" w:rsidRDefault="009932C8" w:rsidP="009932C8">
      <w:pPr>
        <w:rPr>
          <w:rFonts w:ascii="Times New Roman" w:hAnsi="Times New Roman" w:cs="Times New Roman"/>
          <w:i/>
        </w:rPr>
      </w:pPr>
      <w:r w:rsidRPr="00B14505">
        <w:rPr>
          <w:rFonts w:ascii="Times New Roman" w:hAnsi="Times New Roman" w:cs="Times New Roman"/>
          <w:i/>
        </w:rPr>
        <w:t>Field Teams</w:t>
      </w:r>
    </w:p>
    <w:p w14:paraId="1582EF72" w14:textId="77777777" w:rsidR="009932C8" w:rsidRPr="008601EE" w:rsidRDefault="009932C8" w:rsidP="001312CE">
      <w:pPr>
        <w:jc w:val="both"/>
        <w:rPr>
          <w:rFonts w:ascii="Times New Roman" w:hAnsi="Times New Roman" w:cs="Times New Roman"/>
        </w:rPr>
      </w:pPr>
      <w:r w:rsidRPr="008601EE">
        <w:rPr>
          <w:rFonts w:ascii="Times New Roman" w:hAnsi="Times New Roman" w:cs="Times New Roman"/>
        </w:rPr>
        <w:t>A survey coordinator and a laboratory coordinator are required positions to manage field operations and the laboratory logistics. Laboratory logistics will include maintaining a cold chain (uninterrupted storage and transfer of biological samples at the correct temperature) and working with laboratories to ensure samples are processed each night.  Additional field managers and logistics coordinators may also be needed.</w:t>
      </w:r>
    </w:p>
    <w:p w14:paraId="61B15AC4" w14:textId="31B2F441" w:rsidR="009B55D5" w:rsidRPr="006A6B48" w:rsidRDefault="009B55D5" w:rsidP="009B55D5">
      <w:pPr>
        <w:spacing w:after="0" w:line="240" w:lineRule="auto"/>
        <w:rPr>
          <w:rFonts w:ascii="Times New Roman" w:eastAsia="Times New Roman" w:hAnsi="Times New Roman" w:cs="Times New Roman"/>
          <w:szCs w:val="24"/>
          <w:lang w:val="en-US"/>
        </w:rPr>
      </w:pPr>
      <w:r w:rsidRPr="006A6B48">
        <w:rPr>
          <w:rFonts w:ascii="Times New Roman" w:eastAsia="Times New Roman" w:hAnsi="Times New Roman" w:cs="Times New Roman"/>
          <w:szCs w:val="24"/>
          <w:lang w:val="en-US"/>
        </w:rPr>
        <w:t xml:space="preserve">Current estimates suggest there should be approximately 8 field teams for the data collection in order to carry out training, piloting and collecting the data within ~10 weeks (see Table </w:t>
      </w:r>
      <w:r w:rsidR="006A6B48" w:rsidRPr="006A6B48">
        <w:rPr>
          <w:rFonts w:ascii="Times New Roman" w:eastAsia="Times New Roman" w:hAnsi="Times New Roman" w:cs="Times New Roman"/>
          <w:szCs w:val="24"/>
          <w:lang w:val="en-US"/>
        </w:rPr>
        <w:t>2</w:t>
      </w:r>
      <w:r w:rsidRPr="006A6B48">
        <w:rPr>
          <w:rFonts w:ascii="Times New Roman" w:eastAsia="Times New Roman" w:hAnsi="Times New Roman" w:cs="Times New Roman"/>
          <w:szCs w:val="24"/>
          <w:lang w:val="en-US"/>
        </w:rPr>
        <w:t xml:space="preserve">).  Each proposed team is made up of 7 members including a supervisor, interviewers (who will also do anthropometry measures), phlebotomists, a lab technician, and a driver. Lab technicians are required as a part of the field team because zinc is very sensitive to degradation and has to be analyzed in the field within one to two hours of sample collection.  </w:t>
      </w:r>
    </w:p>
    <w:p w14:paraId="6BF40770" w14:textId="77777777" w:rsidR="009B55D5" w:rsidRPr="006A6B48" w:rsidRDefault="009B55D5" w:rsidP="009B55D5">
      <w:pPr>
        <w:spacing w:after="0" w:line="240" w:lineRule="auto"/>
        <w:rPr>
          <w:rFonts w:ascii="Times New Roman" w:eastAsia="Times New Roman" w:hAnsi="Times New Roman" w:cs="Times New Roman"/>
          <w:szCs w:val="24"/>
          <w:lang w:val="en-US"/>
        </w:rPr>
      </w:pPr>
    </w:p>
    <w:tbl>
      <w:tblPr>
        <w:tblW w:w="4875" w:type="dxa"/>
        <w:tblInd w:w="93" w:type="dxa"/>
        <w:tblLook w:val="04A0" w:firstRow="1" w:lastRow="0" w:firstColumn="1" w:lastColumn="0" w:noHBand="0" w:noVBand="1"/>
      </w:tblPr>
      <w:tblGrid>
        <w:gridCol w:w="2021"/>
        <w:gridCol w:w="887"/>
        <w:gridCol w:w="1967"/>
      </w:tblGrid>
      <w:tr w:rsidR="009B55D5" w:rsidRPr="006A6B48" w14:paraId="0352FC27" w14:textId="77777777" w:rsidTr="009B55D5">
        <w:trPr>
          <w:trHeight w:val="315"/>
        </w:trPr>
        <w:tc>
          <w:tcPr>
            <w:tcW w:w="4875" w:type="dxa"/>
            <w:gridSpan w:val="3"/>
            <w:tcBorders>
              <w:top w:val="nil"/>
              <w:left w:val="nil"/>
              <w:bottom w:val="nil"/>
              <w:right w:val="nil"/>
            </w:tcBorders>
            <w:shd w:val="clear" w:color="auto" w:fill="auto"/>
            <w:noWrap/>
            <w:vAlign w:val="center"/>
            <w:hideMark/>
          </w:tcPr>
          <w:p w14:paraId="0BCE45A8" w14:textId="1F0CBF89" w:rsidR="009B55D5" w:rsidRPr="006A6B48" w:rsidRDefault="006A6B48" w:rsidP="009B55D5">
            <w:pPr>
              <w:spacing w:after="0" w:line="240" w:lineRule="auto"/>
              <w:rPr>
                <w:rFonts w:ascii="Times New Roman" w:eastAsia="Times New Roman" w:hAnsi="Times New Roman" w:cs="Times New Roman"/>
                <w:b/>
                <w:bCs/>
                <w:color w:val="000000"/>
                <w:szCs w:val="24"/>
                <w:lang w:val="en-US"/>
              </w:rPr>
            </w:pPr>
            <w:r w:rsidRPr="006A6B48">
              <w:rPr>
                <w:rFonts w:ascii="Times New Roman" w:eastAsia="Times New Roman" w:hAnsi="Times New Roman" w:cs="Times New Roman"/>
                <w:b/>
                <w:bCs/>
                <w:color w:val="000000"/>
                <w:szCs w:val="24"/>
                <w:lang w:val="en-US"/>
              </w:rPr>
              <w:t>Table 2</w:t>
            </w:r>
            <w:r w:rsidR="009B55D5" w:rsidRPr="006A6B48">
              <w:rPr>
                <w:rFonts w:ascii="Times New Roman" w:eastAsia="Times New Roman" w:hAnsi="Times New Roman" w:cs="Times New Roman"/>
                <w:b/>
                <w:bCs/>
                <w:color w:val="000000"/>
                <w:szCs w:val="24"/>
                <w:lang w:val="en-US"/>
              </w:rPr>
              <w:t>. Suggested Field Team Composition</w:t>
            </w:r>
          </w:p>
        </w:tc>
      </w:tr>
      <w:tr w:rsidR="009B55D5" w:rsidRPr="006A6B48" w14:paraId="0820B687" w14:textId="77777777" w:rsidTr="009B55D5">
        <w:trPr>
          <w:trHeight w:val="315"/>
        </w:trPr>
        <w:tc>
          <w:tcPr>
            <w:tcW w:w="2021" w:type="dxa"/>
            <w:tcBorders>
              <w:top w:val="nil"/>
              <w:left w:val="nil"/>
              <w:bottom w:val="nil"/>
              <w:right w:val="nil"/>
            </w:tcBorders>
            <w:shd w:val="clear" w:color="000000" w:fill="DDD9C3"/>
            <w:noWrap/>
            <w:vAlign w:val="center"/>
            <w:hideMark/>
          </w:tcPr>
          <w:p w14:paraId="21A00789" w14:textId="77777777" w:rsidR="009B55D5" w:rsidRPr="006A6B48" w:rsidRDefault="009B55D5" w:rsidP="009B55D5">
            <w:pPr>
              <w:spacing w:after="0" w:line="240" w:lineRule="auto"/>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Team composition</w:t>
            </w:r>
          </w:p>
        </w:tc>
        <w:tc>
          <w:tcPr>
            <w:tcW w:w="887" w:type="dxa"/>
            <w:tcBorders>
              <w:top w:val="nil"/>
              <w:left w:val="nil"/>
              <w:bottom w:val="nil"/>
              <w:right w:val="nil"/>
            </w:tcBorders>
            <w:shd w:val="clear" w:color="000000" w:fill="DDD9C3"/>
            <w:noWrap/>
            <w:vAlign w:val="center"/>
            <w:hideMark/>
          </w:tcPr>
          <w:p w14:paraId="134DE26C"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 team</w:t>
            </w:r>
          </w:p>
        </w:tc>
        <w:tc>
          <w:tcPr>
            <w:tcW w:w="1967" w:type="dxa"/>
            <w:tcBorders>
              <w:top w:val="nil"/>
              <w:left w:val="nil"/>
              <w:bottom w:val="nil"/>
              <w:right w:val="nil"/>
            </w:tcBorders>
            <w:shd w:val="clear" w:color="000000" w:fill="DDD9C3"/>
            <w:noWrap/>
            <w:vAlign w:val="center"/>
            <w:hideMark/>
          </w:tcPr>
          <w:p w14:paraId="2DF416F0"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8 teams (total)</w:t>
            </w:r>
          </w:p>
        </w:tc>
      </w:tr>
      <w:tr w:rsidR="009B55D5" w:rsidRPr="006A6B48" w14:paraId="0B560AC1" w14:textId="77777777" w:rsidTr="009B55D5">
        <w:trPr>
          <w:trHeight w:val="315"/>
        </w:trPr>
        <w:tc>
          <w:tcPr>
            <w:tcW w:w="2021" w:type="dxa"/>
            <w:tcBorders>
              <w:top w:val="nil"/>
              <w:left w:val="nil"/>
              <w:bottom w:val="nil"/>
              <w:right w:val="nil"/>
            </w:tcBorders>
            <w:shd w:val="clear" w:color="auto" w:fill="auto"/>
            <w:noWrap/>
            <w:vAlign w:val="center"/>
            <w:hideMark/>
          </w:tcPr>
          <w:p w14:paraId="6A071B81"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Supervisor</w:t>
            </w:r>
          </w:p>
        </w:tc>
        <w:tc>
          <w:tcPr>
            <w:tcW w:w="887" w:type="dxa"/>
            <w:tcBorders>
              <w:top w:val="nil"/>
              <w:left w:val="nil"/>
              <w:bottom w:val="nil"/>
              <w:right w:val="nil"/>
            </w:tcBorders>
            <w:shd w:val="clear" w:color="auto" w:fill="auto"/>
            <w:noWrap/>
            <w:vAlign w:val="center"/>
            <w:hideMark/>
          </w:tcPr>
          <w:p w14:paraId="2DB70220"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w:t>
            </w:r>
          </w:p>
        </w:tc>
        <w:tc>
          <w:tcPr>
            <w:tcW w:w="1967" w:type="dxa"/>
            <w:tcBorders>
              <w:top w:val="nil"/>
              <w:left w:val="nil"/>
              <w:bottom w:val="nil"/>
              <w:right w:val="nil"/>
            </w:tcBorders>
            <w:shd w:val="clear" w:color="auto" w:fill="auto"/>
            <w:noWrap/>
            <w:vAlign w:val="center"/>
            <w:hideMark/>
          </w:tcPr>
          <w:p w14:paraId="60D94C6E"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8</w:t>
            </w:r>
          </w:p>
        </w:tc>
      </w:tr>
      <w:tr w:rsidR="009B55D5" w:rsidRPr="006A6B48" w14:paraId="6D2617AD" w14:textId="77777777" w:rsidTr="009B55D5">
        <w:trPr>
          <w:trHeight w:val="315"/>
        </w:trPr>
        <w:tc>
          <w:tcPr>
            <w:tcW w:w="2021" w:type="dxa"/>
            <w:tcBorders>
              <w:top w:val="nil"/>
              <w:left w:val="nil"/>
              <w:bottom w:val="nil"/>
              <w:right w:val="nil"/>
            </w:tcBorders>
            <w:shd w:val="clear" w:color="auto" w:fill="auto"/>
            <w:noWrap/>
            <w:vAlign w:val="center"/>
            <w:hideMark/>
          </w:tcPr>
          <w:p w14:paraId="7EE74C13"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Interviewers</w:t>
            </w:r>
          </w:p>
        </w:tc>
        <w:tc>
          <w:tcPr>
            <w:tcW w:w="887" w:type="dxa"/>
            <w:tcBorders>
              <w:top w:val="nil"/>
              <w:left w:val="nil"/>
              <w:bottom w:val="nil"/>
              <w:right w:val="nil"/>
            </w:tcBorders>
            <w:shd w:val="clear" w:color="auto" w:fill="auto"/>
            <w:noWrap/>
            <w:vAlign w:val="center"/>
            <w:hideMark/>
          </w:tcPr>
          <w:p w14:paraId="0A5E7D6D"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2</w:t>
            </w:r>
          </w:p>
        </w:tc>
        <w:tc>
          <w:tcPr>
            <w:tcW w:w="1967" w:type="dxa"/>
            <w:tcBorders>
              <w:top w:val="nil"/>
              <w:left w:val="nil"/>
              <w:bottom w:val="nil"/>
              <w:right w:val="nil"/>
            </w:tcBorders>
            <w:shd w:val="clear" w:color="auto" w:fill="auto"/>
            <w:noWrap/>
            <w:vAlign w:val="center"/>
            <w:hideMark/>
          </w:tcPr>
          <w:p w14:paraId="65FE7046"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16</w:t>
            </w:r>
          </w:p>
        </w:tc>
      </w:tr>
      <w:tr w:rsidR="009B55D5" w:rsidRPr="006A6B48" w14:paraId="264BA8BC" w14:textId="77777777" w:rsidTr="009B55D5">
        <w:trPr>
          <w:trHeight w:val="315"/>
        </w:trPr>
        <w:tc>
          <w:tcPr>
            <w:tcW w:w="2021" w:type="dxa"/>
            <w:tcBorders>
              <w:top w:val="nil"/>
              <w:left w:val="nil"/>
              <w:bottom w:val="nil"/>
              <w:right w:val="nil"/>
            </w:tcBorders>
            <w:shd w:val="clear" w:color="auto" w:fill="auto"/>
            <w:noWrap/>
            <w:vAlign w:val="center"/>
            <w:hideMark/>
          </w:tcPr>
          <w:p w14:paraId="6967376A"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Phlebotomists</w:t>
            </w:r>
          </w:p>
        </w:tc>
        <w:tc>
          <w:tcPr>
            <w:tcW w:w="887" w:type="dxa"/>
            <w:tcBorders>
              <w:top w:val="nil"/>
              <w:left w:val="nil"/>
              <w:bottom w:val="nil"/>
              <w:right w:val="nil"/>
            </w:tcBorders>
            <w:shd w:val="clear" w:color="auto" w:fill="auto"/>
            <w:noWrap/>
            <w:vAlign w:val="center"/>
            <w:hideMark/>
          </w:tcPr>
          <w:p w14:paraId="37C5C92E"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2</w:t>
            </w:r>
          </w:p>
        </w:tc>
        <w:tc>
          <w:tcPr>
            <w:tcW w:w="1967" w:type="dxa"/>
            <w:tcBorders>
              <w:top w:val="nil"/>
              <w:left w:val="nil"/>
              <w:bottom w:val="nil"/>
              <w:right w:val="nil"/>
            </w:tcBorders>
            <w:shd w:val="clear" w:color="auto" w:fill="auto"/>
            <w:noWrap/>
            <w:vAlign w:val="center"/>
            <w:hideMark/>
          </w:tcPr>
          <w:p w14:paraId="39C3C43A"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16</w:t>
            </w:r>
          </w:p>
        </w:tc>
      </w:tr>
      <w:tr w:rsidR="009B55D5" w:rsidRPr="006A6B48" w14:paraId="5DA1E4B2" w14:textId="77777777" w:rsidTr="009B55D5">
        <w:trPr>
          <w:trHeight w:val="315"/>
        </w:trPr>
        <w:tc>
          <w:tcPr>
            <w:tcW w:w="2021" w:type="dxa"/>
            <w:tcBorders>
              <w:top w:val="nil"/>
              <w:left w:val="nil"/>
              <w:bottom w:val="nil"/>
              <w:right w:val="nil"/>
            </w:tcBorders>
            <w:shd w:val="clear" w:color="auto" w:fill="auto"/>
            <w:noWrap/>
            <w:vAlign w:val="center"/>
            <w:hideMark/>
          </w:tcPr>
          <w:p w14:paraId="3F94E899"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Lab techs</w:t>
            </w:r>
          </w:p>
        </w:tc>
        <w:tc>
          <w:tcPr>
            <w:tcW w:w="887" w:type="dxa"/>
            <w:tcBorders>
              <w:top w:val="nil"/>
              <w:left w:val="nil"/>
              <w:bottom w:val="nil"/>
              <w:right w:val="nil"/>
            </w:tcBorders>
            <w:shd w:val="clear" w:color="auto" w:fill="auto"/>
            <w:noWrap/>
            <w:vAlign w:val="center"/>
            <w:hideMark/>
          </w:tcPr>
          <w:p w14:paraId="4EAC072E"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w:t>
            </w:r>
          </w:p>
        </w:tc>
        <w:tc>
          <w:tcPr>
            <w:tcW w:w="1967" w:type="dxa"/>
            <w:tcBorders>
              <w:top w:val="nil"/>
              <w:left w:val="nil"/>
              <w:bottom w:val="nil"/>
              <w:right w:val="nil"/>
            </w:tcBorders>
            <w:shd w:val="clear" w:color="auto" w:fill="auto"/>
            <w:noWrap/>
            <w:vAlign w:val="center"/>
            <w:hideMark/>
          </w:tcPr>
          <w:p w14:paraId="389C4222"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8</w:t>
            </w:r>
          </w:p>
        </w:tc>
      </w:tr>
      <w:tr w:rsidR="009B55D5" w:rsidRPr="006A6B48" w14:paraId="5759B8CD" w14:textId="77777777" w:rsidTr="009B55D5">
        <w:trPr>
          <w:trHeight w:val="315"/>
        </w:trPr>
        <w:tc>
          <w:tcPr>
            <w:tcW w:w="2021" w:type="dxa"/>
            <w:tcBorders>
              <w:top w:val="nil"/>
              <w:left w:val="nil"/>
              <w:bottom w:val="nil"/>
              <w:right w:val="nil"/>
            </w:tcBorders>
            <w:shd w:val="clear" w:color="auto" w:fill="auto"/>
            <w:noWrap/>
            <w:vAlign w:val="center"/>
            <w:hideMark/>
          </w:tcPr>
          <w:p w14:paraId="26CF7268"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Drivers</w:t>
            </w:r>
          </w:p>
        </w:tc>
        <w:tc>
          <w:tcPr>
            <w:tcW w:w="887" w:type="dxa"/>
            <w:tcBorders>
              <w:top w:val="nil"/>
              <w:left w:val="nil"/>
              <w:bottom w:val="nil"/>
              <w:right w:val="nil"/>
            </w:tcBorders>
            <w:shd w:val="clear" w:color="auto" w:fill="auto"/>
            <w:noWrap/>
            <w:vAlign w:val="center"/>
            <w:hideMark/>
          </w:tcPr>
          <w:p w14:paraId="7F64CF47"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1</w:t>
            </w:r>
          </w:p>
        </w:tc>
        <w:tc>
          <w:tcPr>
            <w:tcW w:w="1967" w:type="dxa"/>
            <w:tcBorders>
              <w:top w:val="nil"/>
              <w:left w:val="nil"/>
              <w:bottom w:val="nil"/>
              <w:right w:val="nil"/>
            </w:tcBorders>
            <w:shd w:val="clear" w:color="auto" w:fill="auto"/>
            <w:noWrap/>
            <w:vAlign w:val="center"/>
            <w:hideMark/>
          </w:tcPr>
          <w:p w14:paraId="5970CC48" w14:textId="77777777" w:rsidR="009B55D5" w:rsidRPr="006A6B48" w:rsidRDefault="009B55D5" w:rsidP="009B55D5">
            <w:pPr>
              <w:spacing w:after="0" w:line="240" w:lineRule="auto"/>
              <w:jc w:val="center"/>
              <w:rPr>
                <w:rFonts w:ascii="Times New Roman" w:eastAsia="Times New Roman" w:hAnsi="Times New Roman" w:cs="Times New Roman"/>
                <w:color w:val="000000"/>
                <w:szCs w:val="24"/>
                <w:lang w:val="en-US"/>
              </w:rPr>
            </w:pPr>
            <w:r w:rsidRPr="006A6B48">
              <w:rPr>
                <w:rFonts w:ascii="Times New Roman" w:eastAsia="Times New Roman" w:hAnsi="Times New Roman" w:cs="Times New Roman"/>
                <w:color w:val="000000"/>
                <w:szCs w:val="24"/>
                <w:lang w:val="en-US"/>
              </w:rPr>
              <w:t>8</w:t>
            </w:r>
          </w:p>
        </w:tc>
      </w:tr>
      <w:tr w:rsidR="009B55D5" w:rsidRPr="006A6B48" w14:paraId="77E8E374" w14:textId="77777777" w:rsidTr="009B55D5">
        <w:trPr>
          <w:trHeight w:val="315"/>
        </w:trPr>
        <w:tc>
          <w:tcPr>
            <w:tcW w:w="2021" w:type="dxa"/>
            <w:tcBorders>
              <w:top w:val="nil"/>
              <w:left w:val="nil"/>
              <w:bottom w:val="nil"/>
              <w:right w:val="nil"/>
            </w:tcBorders>
            <w:shd w:val="clear" w:color="auto" w:fill="auto"/>
            <w:noWrap/>
            <w:vAlign w:val="center"/>
            <w:hideMark/>
          </w:tcPr>
          <w:p w14:paraId="281377BA" w14:textId="77777777" w:rsidR="009B55D5" w:rsidRPr="006A6B48" w:rsidRDefault="009B55D5" w:rsidP="009B55D5">
            <w:pPr>
              <w:spacing w:after="0" w:line="240" w:lineRule="auto"/>
              <w:jc w:val="center"/>
              <w:rPr>
                <w:rFonts w:ascii="Times New Roman" w:eastAsia="Times New Roman" w:hAnsi="Times New Roman" w:cs="Times New Roman"/>
                <w:b/>
                <w:color w:val="000000"/>
                <w:szCs w:val="24"/>
                <w:lang w:val="en-US"/>
              </w:rPr>
            </w:pPr>
            <w:r w:rsidRPr="006A6B48">
              <w:rPr>
                <w:rFonts w:ascii="Times New Roman" w:eastAsia="Times New Roman" w:hAnsi="Times New Roman" w:cs="Times New Roman"/>
                <w:b/>
                <w:color w:val="000000"/>
                <w:szCs w:val="24"/>
                <w:lang w:val="en-US"/>
              </w:rPr>
              <w:t>Total people</w:t>
            </w:r>
          </w:p>
        </w:tc>
        <w:tc>
          <w:tcPr>
            <w:tcW w:w="887" w:type="dxa"/>
            <w:tcBorders>
              <w:top w:val="nil"/>
              <w:left w:val="nil"/>
              <w:bottom w:val="nil"/>
              <w:right w:val="nil"/>
            </w:tcBorders>
            <w:shd w:val="clear" w:color="auto" w:fill="auto"/>
            <w:noWrap/>
            <w:vAlign w:val="center"/>
            <w:hideMark/>
          </w:tcPr>
          <w:p w14:paraId="0DE4D997" w14:textId="77777777" w:rsidR="009B55D5" w:rsidRPr="006A6B48" w:rsidRDefault="009B55D5" w:rsidP="009B55D5">
            <w:pPr>
              <w:spacing w:after="0" w:line="240" w:lineRule="auto"/>
              <w:jc w:val="center"/>
              <w:rPr>
                <w:rFonts w:ascii="Times New Roman" w:eastAsia="Times New Roman" w:hAnsi="Times New Roman" w:cs="Times New Roman"/>
                <w:b/>
                <w:color w:val="000000"/>
                <w:szCs w:val="24"/>
                <w:lang w:val="en-US"/>
              </w:rPr>
            </w:pPr>
            <w:r w:rsidRPr="006A6B48">
              <w:rPr>
                <w:rFonts w:ascii="Times New Roman" w:eastAsia="Times New Roman" w:hAnsi="Times New Roman" w:cs="Times New Roman"/>
                <w:b/>
                <w:color w:val="000000"/>
                <w:szCs w:val="24"/>
                <w:lang w:val="en-US"/>
              </w:rPr>
              <w:t>7</w:t>
            </w:r>
          </w:p>
        </w:tc>
        <w:tc>
          <w:tcPr>
            <w:tcW w:w="1967" w:type="dxa"/>
            <w:tcBorders>
              <w:top w:val="nil"/>
              <w:left w:val="nil"/>
              <w:bottom w:val="nil"/>
              <w:right w:val="nil"/>
            </w:tcBorders>
            <w:shd w:val="clear" w:color="auto" w:fill="auto"/>
            <w:noWrap/>
            <w:vAlign w:val="center"/>
            <w:hideMark/>
          </w:tcPr>
          <w:p w14:paraId="1F7C201E" w14:textId="77777777" w:rsidR="009B55D5" w:rsidRPr="006A6B48" w:rsidRDefault="009B55D5" w:rsidP="009B55D5">
            <w:pPr>
              <w:spacing w:after="0" w:line="240" w:lineRule="auto"/>
              <w:jc w:val="center"/>
              <w:rPr>
                <w:rFonts w:ascii="Times New Roman" w:eastAsia="Times New Roman" w:hAnsi="Times New Roman" w:cs="Times New Roman"/>
                <w:b/>
                <w:color w:val="000000"/>
                <w:szCs w:val="24"/>
                <w:lang w:val="en-US"/>
              </w:rPr>
            </w:pPr>
            <w:r w:rsidRPr="006A6B48">
              <w:rPr>
                <w:rFonts w:ascii="Times New Roman" w:eastAsia="Times New Roman" w:hAnsi="Times New Roman" w:cs="Times New Roman"/>
                <w:b/>
                <w:color w:val="000000"/>
                <w:szCs w:val="24"/>
                <w:lang w:val="en-US"/>
              </w:rPr>
              <w:t>56</w:t>
            </w:r>
          </w:p>
        </w:tc>
      </w:tr>
    </w:tbl>
    <w:p w14:paraId="023E1645" w14:textId="77777777" w:rsidR="0056713E" w:rsidRPr="00F27183" w:rsidRDefault="0056713E" w:rsidP="00F27183">
      <w:pPr>
        <w:pStyle w:val="ListParagraph"/>
        <w:ind w:left="0"/>
        <w:rPr>
          <w:b/>
          <w:i/>
          <w:sz w:val="28"/>
          <w:szCs w:val="28"/>
        </w:rPr>
      </w:pPr>
    </w:p>
    <w:p w14:paraId="22E91821" w14:textId="63AD99A3" w:rsidR="00540395" w:rsidRPr="004216E0" w:rsidRDefault="00D83888" w:rsidP="00D83888">
      <w:pPr>
        <w:pStyle w:val="ListParagraph"/>
        <w:keepNext/>
        <w:widowControl w:val="0"/>
        <w:numPr>
          <w:ilvl w:val="0"/>
          <w:numId w:val="11"/>
        </w:numPr>
        <w:tabs>
          <w:tab w:val="left" w:pos="360"/>
        </w:tabs>
        <w:autoSpaceDE w:val="0"/>
        <w:autoSpaceDN w:val="0"/>
        <w:adjustRightInd w:val="0"/>
        <w:spacing w:before="240" w:after="60"/>
        <w:ind w:left="0" w:firstLine="0"/>
        <w:outlineLvl w:val="0"/>
        <w:rPr>
          <w:b/>
          <w:bCs/>
          <w:kern w:val="32"/>
          <w:sz w:val="22"/>
          <w:szCs w:val="22"/>
          <w:u w:val="single"/>
        </w:rPr>
      </w:pPr>
      <w:r w:rsidRPr="004216E0">
        <w:rPr>
          <w:b/>
          <w:bCs/>
          <w:kern w:val="32"/>
          <w:sz w:val="22"/>
          <w:szCs w:val="22"/>
          <w:u w:val="single"/>
        </w:rPr>
        <w:t>JUSTIFICATION:</w:t>
      </w:r>
      <w:r w:rsidR="005D0646">
        <w:rPr>
          <w:b/>
          <w:bCs/>
          <w:kern w:val="32"/>
          <w:sz w:val="22"/>
          <w:szCs w:val="22"/>
          <w:u w:val="single"/>
        </w:rPr>
        <w:t xml:space="preserve"> </w:t>
      </w:r>
      <w:r w:rsidR="005D0646" w:rsidRPr="005D0646">
        <w:rPr>
          <w:b/>
          <w:bCs/>
          <w:kern w:val="32"/>
          <w:sz w:val="22"/>
          <w:szCs w:val="22"/>
          <w:highlight w:val="yellow"/>
        </w:rPr>
        <w:t>(Update based on survey justification)</w:t>
      </w:r>
    </w:p>
    <w:p w14:paraId="634F7345" w14:textId="77777777" w:rsidR="0056713E" w:rsidRPr="00B14505" w:rsidRDefault="0056713E" w:rsidP="001C2479">
      <w:pPr>
        <w:jc w:val="both"/>
        <w:rPr>
          <w:rFonts w:ascii="Times New Roman" w:hAnsi="Times New Roman" w:cs="Times New Roman"/>
        </w:rPr>
      </w:pPr>
    </w:p>
    <w:p w14:paraId="7A060145" w14:textId="2227D746" w:rsidR="00540395" w:rsidRPr="008601EE" w:rsidRDefault="001C2479" w:rsidP="001C2479">
      <w:pPr>
        <w:jc w:val="both"/>
        <w:rPr>
          <w:rFonts w:ascii="Times New Roman" w:hAnsi="Times New Roman" w:cs="Times New Roman"/>
        </w:rPr>
      </w:pPr>
      <w:r w:rsidRPr="008601EE">
        <w:rPr>
          <w:rFonts w:ascii="Times New Roman" w:hAnsi="Times New Roman" w:cs="Times New Roman"/>
        </w:rPr>
        <w:lastRenderedPageBreak/>
        <w:t xml:space="preserve">Based on outcome of the IYCF/MNPs pilot phase evaluation, the Government of Nepal has </w:t>
      </w:r>
      <w:r w:rsidR="0042558C">
        <w:rPr>
          <w:rFonts w:ascii="Times New Roman" w:hAnsi="Times New Roman" w:cs="Times New Roman"/>
        </w:rPr>
        <w:t>expanded this i</w:t>
      </w:r>
      <w:r w:rsidRPr="008601EE">
        <w:rPr>
          <w:rFonts w:ascii="Times New Roman" w:hAnsi="Times New Roman" w:cs="Times New Roman"/>
        </w:rPr>
        <w:t>ntervention</w:t>
      </w:r>
      <w:r w:rsidR="0042558C">
        <w:rPr>
          <w:rFonts w:ascii="Times New Roman" w:hAnsi="Times New Roman" w:cs="Times New Roman"/>
        </w:rPr>
        <w:t xml:space="preserve"> in 9 additional districts</w:t>
      </w:r>
      <w:r w:rsidRPr="008601EE">
        <w:rPr>
          <w:rFonts w:ascii="Times New Roman" w:hAnsi="Times New Roman" w:cs="Times New Roman"/>
        </w:rPr>
        <w:t xml:space="preserve">.  However, before taking this to scale there is a need to generate </w:t>
      </w:r>
      <w:r w:rsidR="006A6B48">
        <w:rPr>
          <w:rFonts w:ascii="Times New Roman" w:hAnsi="Times New Roman" w:cs="Times New Roman"/>
        </w:rPr>
        <w:t>follow-up</w:t>
      </w:r>
      <w:r w:rsidR="006A6B48" w:rsidRPr="008601EE">
        <w:rPr>
          <w:rFonts w:ascii="Times New Roman" w:hAnsi="Times New Roman" w:cs="Times New Roman"/>
        </w:rPr>
        <w:t xml:space="preserve"> </w:t>
      </w:r>
      <w:r w:rsidRPr="008601EE">
        <w:rPr>
          <w:rFonts w:ascii="Times New Roman" w:hAnsi="Times New Roman" w:cs="Times New Roman"/>
        </w:rPr>
        <w:t xml:space="preserve">data for </w:t>
      </w:r>
      <w:r w:rsidR="0042558C">
        <w:rPr>
          <w:rFonts w:ascii="Times New Roman" w:hAnsi="Times New Roman" w:cs="Times New Roman"/>
        </w:rPr>
        <w:t>comparison with the baseline</w:t>
      </w:r>
      <w:r w:rsidRPr="008601EE">
        <w:rPr>
          <w:rFonts w:ascii="Times New Roman" w:hAnsi="Times New Roman" w:cs="Times New Roman"/>
        </w:rPr>
        <w:t xml:space="preserve"> </w:t>
      </w:r>
      <w:r w:rsidR="006A6B48">
        <w:rPr>
          <w:rFonts w:ascii="Times New Roman" w:hAnsi="Times New Roman" w:cs="Times New Roman"/>
        </w:rPr>
        <w:t xml:space="preserve">data to better understand the potential </w:t>
      </w:r>
      <w:r w:rsidRPr="008601EE">
        <w:rPr>
          <w:rFonts w:ascii="Times New Roman" w:hAnsi="Times New Roman" w:cs="Times New Roman"/>
        </w:rPr>
        <w:t xml:space="preserve">impact </w:t>
      </w:r>
      <w:r w:rsidR="006A6B48">
        <w:rPr>
          <w:rFonts w:ascii="Times New Roman" w:hAnsi="Times New Roman" w:cs="Times New Roman"/>
        </w:rPr>
        <w:t xml:space="preserve">of the intervention in the Nepali context; the evaluation results </w:t>
      </w:r>
      <w:r w:rsidRPr="008601EE">
        <w:rPr>
          <w:rFonts w:ascii="Times New Roman" w:hAnsi="Times New Roman" w:cs="Times New Roman"/>
        </w:rPr>
        <w:t>will serve as input</w:t>
      </w:r>
      <w:r w:rsidR="006A6B48">
        <w:rPr>
          <w:rFonts w:ascii="Times New Roman" w:hAnsi="Times New Roman" w:cs="Times New Roman"/>
        </w:rPr>
        <w:t>s</w:t>
      </w:r>
      <w:r w:rsidRPr="008601EE">
        <w:rPr>
          <w:rFonts w:ascii="Times New Roman" w:hAnsi="Times New Roman" w:cs="Times New Roman"/>
        </w:rPr>
        <w:t xml:space="preserve"> to policy decisions as well as for advocacy and resource mobilization to sustain this programme.  </w:t>
      </w:r>
      <w:r w:rsidR="00540395" w:rsidRPr="008601EE">
        <w:rPr>
          <w:rFonts w:ascii="Times New Roman" w:hAnsi="Times New Roman" w:cs="Times New Roman"/>
        </w:rPr>
        <w:t xml:space="preserve">Nutrition Officers in the Government and in UNICEF are too busy to afford sufficient time </w:t>
      </w:r>
      <w:r w:rsidR="00147131">
        <w:rPr>
          <w:rFonts w:ascii="Times New Roman" w:hAnsi="Times New Roman" w:cs="Times New Roman"/>
        </w:rPr>
        <w:t>for an intensive</w:t>
      </w:r>
      <w:r w:rsidR="006A6B48">
        <w:rPr>
          <w:rFonts w:ascii="Times New Roman" w:hAnsi="Times New Roman" w:cs="Times New Roman"/>
        </w:rPr>
        <w:t xml:space="preserve"> complex</w:t>
      </w:r>
      <w:r w:rsidR="00147131">
        <w:rPr>
          <w:rFonts w:ascii="Times New Roman" w:hAnsi="Times New Roman" w:cs="Times New Roman"/>
        </w:rPr>
        <w:t xml:space="preserve"> </w:t>
      </w:r>
      <w:r w:rsidR="006A6B48">
        <w:rPr>
          <w:rFonts w:ascii="Times New Roman" w:hAnsi="Times New Roman" w:cs="Times New Roman"/>
        </w:rPr>
        <w:t xml:space="preserve">evaluation survey </w:t>
      </w:r>
      <w:r w:rsidR="00147131">
        <w:rPr>
          <w:rFonts w:ascii="Times New Roman" w:hAnsi="Times New Roman" w:cs="Times New Roman"/>
        </w:rPr>
        <w:t xml:space="preserve">which requires </w:t>
      </w:r>
      <w:r w:rsidR="00054235">
        <w:rPr>
          <w:rFonts w:ascii="Times New Roman" w:hAnsi="Times New Roman" w:cs="Times New Roman"/>
        </w:rPr>
        <w:t xml:space="preserve">specific expertise and </w:t>
      </w:r>
      <w:r w:rsidR="00147131">
        <w:rPr>
          <w:rFonts w:ascii="Times New Roman" w:hAnsi="Times New Roman" w:cs="Times New Roman"/>
        </w:rPr>
        <w:t xml:space="preserve">full time attention </w:t>
      </w:r>
      <w:r w:rsidR="00540395" w:rsidRPr="008601EE">
        <w:rPr>
          <w:rFonts w:ascii="Times New Roman" w:hAnsi="Times New Roman" w:cs="Times New Roman"/>
        </w:rPr>
        <w:t>to collect, compile,</w:t>
      </w:r>
      <w:r w:rsidR="00E4444A">
        <w:rPr>
          <w:rFonts w:ascii="Times New Roman" w:hAnsi="Times New Roman" w:cs="Times New Roman"/>
        </w:rPr>
        <w:t xml:space="preserve"> </w:t>
      </w:r>
      <w:r w:rsidR="00540395" w:rsidRPr="008601EE">
        <w:rPr>
          <w:rFonts w:ascii="Times New Roman" w:hAnsi="Times New Roman" w:cs="Times New Roman"/>
        </w:rPr>
        <w:t xml:space="preserve">review, </w:t>
      </w:r>
      <w:r w:rsidR="00E4444A">
        <w:rPr>
          <w:rFonts w:ascii="Times New Roman" w:hAnsi="Times New Roman" w:cs="Times New Roman"/>
        </w:rPr>
        <w:t xml:space="preserve">and </w:t>
      </w:r>
      <w:r w:rsidR="0088242E" w:rsidRPr="008601EE">
        <w:rPr>
          <w:rFonts w:ascii="Times New Roman" w:hAnsi="Times New Roman" w:cs="Times New Roman"/>
        </w:rPr>
        <w:t>analyse</w:t>
      </w:r>
      <w:r w:rsidR="00540395" w:rsidRPr="008601EE">
        <w:rPr>
          <w:rFonts w:ascii="Times New Roman" w:hAnsi="Times New Roman" w:cs="Times New Roman"/>
        </w:rPr>
        <w:t xml:space="preserve"> the </w:t>
      </w:r>
      <w:r w:rsidRPr="008601EE">
        <w:rPr>
          <w:rFonts w:ascii="Times New Roman" w:hAnsi="Times New Roman" w:cs="Times New Roman"/>
        </w:rPr>
        <w:t xml:space="preserve">IYCF/MNPs </w:t>
      </w:r>
      <w:r w:rsidR="00E93811">
        <w:rPr>
          <w:rFonts w:ascii="Times New Roman" w:hAnsi="Times New Roman" w:cs="Times New Roman"/>
        </w:rPr>
        <w:t>follow-up</w:t>
      </w:r>
      <w:r w:rsidR="00E93811" w:rsidRPr="008601EE">
        <w:rPr>
          <w:rFonts w:ascii="Times New Roman" w:hAnsi="Times New Roman" w:cs="Times New Roman"/>
        </w:rPr>
        <w:t xml:space="preserve"> </w:t>
      </w:r>
      <w:r w:rsidRPr="008601EE">
        <w:rPr>
          <w:rFonts w:ascii="Times New Roman" w:hAnsi="Times New Roman" w:cs="Times New Roman"/>
        </w:rPr>
        <w:t>survey data</w:t>
      </w:r>
      <w:r w:rsidR="00147131">
        <w:rPr>
          <w:rFonts w:ascii="Times New Roman" w:hAnsi="Times New Roman" w:cs="Times New Roman"/>
        </w:rPr>
        <w:t>.</w:t>
      </w:r>
      <w:r w:rsidRPr="008601EE">
        <w:rPr>
          <w:rFonts w:ascii="Times New Roman" w:hAnsi="Times New Roman" w:cs="Times New Roman"/>
        </w:rPr>
        <w:t xml:space="preserve"> </w:t>
      </w:r>
      <w:r w:rsidR="00147131">
        <w:rPr>
          <w:rFonts w:ascii="Times New Roman" w:hAnsi="Times New Roman" w:cs="Times New Roman"/>
        </w:rPr>
        <w:t xml:space="preserve">The Nutrition Officers are also currently highly </w:t>
      </w:r>
      <w:r w:rsidR="00540395" w:rsidRPr="008601EE">
        <w:rPr>
          <w:rFonts w:ascii="Times New Roman" w:hAnsi="Times New Roman" w:cs="Times New Roman"/>
        </w:rPr>
        <w:t>involve</w:t>
      </w:r>
      <w:r w:rsidR="00147131">
        <w:rPr>
          <w:rFonts w:ascii="Times New Roman" w:hAnsi="Times New Roman" w:cs="Times New Roman"/>
        </w:rPr>
        <w:t>d</w:t>
      </w:r>
      <w:r w:rsidR="00540395" w:rsidRPr="008601EE">
        <w:rPr>
          <w:rFonts w:ascii="Times New Roman" w:hAnsi="Times New Roman" w:cs="Times New Roman"/>
        </w:rPr>
        <w:t xml:space="preserve"> </w:t>
      </w:r>
      <w:r w:rsidR="00147131">
        <w:rPr>
          <w:rFonts w:ascii="Times New Roman" w:hAnsi="Times New Roman" w:cs="Times New Roman"/>
        </w:rPr>
        <w:t xml:space="preserve">with </w:t>
      </w:r>
      <w:r w:rsidR="00540395" w:rsidRPr="008601EE">
        <w:rPr>
          <w:rFonts w:ascii="Times New Roman" w:hAnsi="Times New Roman" w:cs="Times New Roman"/>
        </w:rPr>
        <w:t xml:space="preserve">the </w:t>
      </w:r>
      <w:r w:rsidR="00147131">
        <w:rPr>
          <w:rFonts w:ascii="Times New Roman" w:hAnsi="Times New Roman" w:cs="Times New Roman"/>
        </w:rPr>
        <w:t xml:space="preserve">preparations for the </w:t>
      </w:r>
      <w:r w:rsidR="0042558C">
        <w:rPr>
          <w:rFonts w:ascii="Times New Roman" w:hAnsi="Times New Roman" w:cs="Times New Roman"/>
        </w:rPr>
        <w:t xml:space="preserve">national micronutrient survey, </w:t>
      </w:r>
      <w:r w:rsidR="00540395" w:rsidRPr="008601EE">
        <w:rPr>
          <w:rFonts w:ascii="Times New Roman" w:hAnsi="Times New Roman" w:cs="Times New Roman"/>
        </w:rPr>
        <w:t xml:space="preserve">multi sector nutrition plan </w:t>
      </w:r>
      <w:r w:rsidRPr="008601EE">
        <w:rPr>
          <w:rFonts w:ascii="Times New Roman" w:hAnsi="Times New Roman" w:cs="Times New Roman"/>
        </w:rPr>
        <w:t xml:space="preserve">implementation at the district level </w:t>
      </w:r>
      <w:r w:rsidR="00540395" w:rsidRPr="008601EE">
        <w:rPr>
          <w:rFonts w:ascii="Times New Roman" w:hAnsi="Times New Roman" w:cs="Times New Roman"/>
        </w:rPr>
        <w:t xml:space="preserve">and technical and coordination activities with the Child Health Division to implement other </w:t>
      </w:r>
      <w:r w:rsidR="00147131">
        <w:rPr>
          <w:rFonts w:ascii="Times New Roman" w:hAnsi="Times New Roman" w:cs="Times New Roman"/>
        </w:rPr>
        <w:t xml:space="preserve">initiatives </w:t>
      </w:r>
      <w:r w:rsidR="00540395" w:rsidRPr="008601EE">
        <w:rPr>
          <w:rFonts w:ascii="Times New Roman" w:hAnsi="Times New Roman" w:cs="Times New Roman"/>
        </w:rPr>
        <w:t>(</w:t>
      </w:r>
      <w:r w:rsidR="0042558C">
        <w:rPr>
          <w:rFonts w:ascii="Times New Roman" w:hAnsi="Times New Roman" w:cs="Times New Roman"/>
        </w:rPr>
        <w:t xml:space="preserve">1000 days campaign, IMAM, </w:t>
      </w:r>
      <w:r w:rsidR="00540395" w:rsidRPr="008601EE">
        <w:rPr>
          <w:rFonts w:ascii="Times New Roman" w:hAnsi="Times New Roman" w:cs="Times New Roman"/>
        </w:rPr>
        <w:t>vitamin A supplementation, scale-up of MNPs integrated with IYCF, and IFA</w:t>
      </w:r>
      <w:r w:rsidR="00054235">
        <w:rPr>
          <w:rFonts w:ascii="Times New Roman" w:hAnsi="Times New Roman" w:cs="Times New Roman"/>
        </w:rPr>
        <w:t>)</w:t>
      </w:r>
      <w:r w:rsidR="00540395" w:rsidRPr="008601EE">
        <w:rPr>
          <w:rFonts w:ascii="Times New Roman" w:hAnsi="Times New Roman" w:cs="Times New Roman"/>
        </w:rPr>
        <w:t xml:space="preserve">. </w:t>
      </w:r>
      <w:r w:rsidR="00147131">
        <w:rPr>
          <w:rFonts w:ascii="Times New Roman" w:hAnsi="Times New Roman" w:cs="Times New Roman"/>
        </w:rPr>
        <w:t>To this end, a</w:t>
      </w:r>
      <w:r w:rsidRPr="008601EE">
        <w:rPr>
          <w:rFonts w:ascii="Times New Roman" w:hAnsi="Times New Roman" w:cs="Times New Roman"/>
        </w:rPr>
        <w:t xml:space="preserve"> </w:t>
      </w:r>
      <w:r w:rsidR="00147131">
        <w:rPr>
          <w:rFonts w:ascii="Times New Roman" w:hAnsi="Times New Roman" w:cs="Times New Roman"/>
        </w:rPr>
        <w:t xml:space="preserve">suitable </w:t>
      </w:r>
      <w:r w:rsidRPr="008601EE">
        <w:rPr>
          <w:rFonts w:ascii="Times New Roman" w:hAnsi="Times New Roman" w:cs="Times New Roman"/>
        </w:rPr>
        <w:t xml:space="preserve">local research institute is needed to organize, plan and undertake </w:t>
      </w:r>
      <w:r w:rsidR="00147131">
        <w:rPr>
          <w:rFonts w:ascii="Times New Roman" w:hAnsi="Times New Roman" w:cs="Times New Roman"/>
        </w:rPr>
        <w:t xml:space="preserve">quality </w:t>
      </w:r>
      <w:r w:rsidRPr="008601EE">
        <w:rPr>
          <w:rFonts w:ascii="Times New Roman" w:hAnsi="Times New Roman" w:cs="Times New Roman"/>
        </w:rPr>
        <w:t>data collection, consolidation</w:t>
      </w:r>
      <w:r w:rsidR="00147131">
        <w:rPr>
          <w:rFonts w:ascii="Times New Roman" w:hAnsi="Times New Roman" w:cs="Times New Roman"/>
        </w:rPr>
        <w:t>, analysis</w:t>
      </w:r>
      <w:r w:rsidRPr="008601EE">
        <w:rPr>
          <w:rFonts w:ascii="Times New Roman" w:hAnsi="Times New Roman" w:cs="Times New Roman"/>
        </w:rPr>
        <w:t xml:space="preserve"> and reporting under close guidance support of UNICEF and in close collaboration with the key stakeholders including the MoHP and CDC.</w:t>
      </w:r>
    </w:p>
    <w:p w14:paraId="536BA0C9" w14:textId="77777777" w:rsidR="00540395" w:rsidRPr="008601EE" w:rsidRDefault="00540395" w:rsidP="001C2479">
      <w:pPr>
        <w:jc w:val="both"/>
        <w:rPr>
          <w:rFonts w:ascii="Times New Roman" w:hAnsi="Times New Roman" w:cs="Times New Roman"/>
          <w:b/>
        </w:rPr>
      </w:pPr>
      <w:r w:rsidRPr="008601EE">
        <w:rPr>
          <w:rFonts w:ascii="Times New Roman" w:hAnsi="Times New Roman" w:cs="Times New Roman"/>
          <w:b/>
        </w:rPr>
        <w:t>PCR/ IR Relevance:</w:t>
      </w:r>
    </w:p>
    <w:p w14:paraId="01C19E20" w14:textId="02B2525E" w:rsidR="00540395" w:rsidRPr="004216E0" w:rsidRDefault="00540395" w:rsidP="0042558C">
      <w:pPr>
        <w:pStyle w:val="ListParagraph"/>
        <w:ind w:left="0"/>
        <w:jc w:val="both"/>
        <w:rPr>
          <w:sz w:val="22"/>
          <w:szCs w:val="22"/>
        </w:rPr>
      </w:pPr>
      <w:r w:rsidRPr="00B14505">
        <w:rPr>
          <w:sz w:val="22"/>
          <w:szCs w:val="22"/>
        </w:rPr>
        <w:t>The PCR 1 states that “</w:t>
      </w:r>
      <w:r w:rsidRPr="00B14505">
        <w:rPr>
          <w:i/>
          <w:sz w:val="22"/>
          <w:szCs w:val="22"/>
        </w:rPr>
        <w:t>The health and nutrition status of mothers, children and adolescents improved with focus on socially excluded and economically marginalized groups and equitable and participatory approach and implementation of high-impact cost effective proven interventions</w:t>
      </w:r>
      <w:r w:rsidRPr="00B14505">
        <w:rPr>
          <w:sz w:val="22"/>
          <w:szCs w:val="22"/>
        </w:rPr>
        <w:t xml:space="preserve">” and IR </w:t>
      </w:r>
      <w:r w:rsidR="00983DC9" w:rsidRPr="00B14505">
        <w:rPr>
          <w:sz w:val="22"/>
          <w:szCs w:val="22"/>
        </w:rPr>
        <w:t>3</w:t>
      </w:r>
      <w:r w:rsidRPr="00B14505">
        <w:rPr>
          <w:sz w:val="22"/>
          <w:szCs w:val="22"/>
        </w:rPr>
        <w:t xml:space="preserve"> states that  </w:t>
      </w:r>
      <w:r w:rsidRPr="00B14505">
        <w:rPr>
          <w:i/>
          <w:sz w:val="22"/>
          <w:szCs w:val="22"/>
        </w:rPr>
        <w:t>“</w:t>
      </w:r>
      <w:r w:rsidR="00983DC9" w:rsidRPr="00B14505">
        <w:rPr>
          <w:i/>
          <w:sz w:val="22"/>
          <w:szCs w:val="22"/>
        </w:rPr>
        <w:t>Families, especially the disadvantaged groups, practice essential maternal, New Born, Infant and Young Child nutrition care, feeding and early stimulation, hygiene and sanitation, with active involvement of male, family and community members in focused districts</w:t>
      </w:r>
      <w:r w:rsidR="00983DC9" w:rsidRPr="00B14505">
        <w:rPr>
          <w:sz w:val="22"/>
          <w:szCs w:val="22"/>
        </w:rPr>
        <w:t xml:space="preserve">.”  </w:t>
      </w:r>
      <w:r w:rsidRPr="004216E0">
        <w:rPr>
          <w:sz w:val="22"/>
          <w:szCs w:val="22"/>
        </w:rPr>
        <w:t xml:space="preserve">UNICEF has been providing technical and coordination support to effectively </w:t>
      </w:r>
      <w:r w:rsidR="00983DC9" w:rsidRPr="004216E0">
        <w:rPr>
          <w:sz w:val="22"/>
          <w:szCs w:val="22"/>
        </w:rPr>
        <w:t xml:space="preserve">promote optimal IYCF practices </w:t>
      </w:r>
      <w:r w:rsidR="0042558C" w:rsidRPr="004216E0">
        <w:rPr>
          <w:sz w:val="22"/>
          <w:szCs w:val="22"/>
        </w:rPr>
        <w:t>during the previous</w:t>
      </w:r>
      <w:r w:rsidR="00983DC9" w:rsidRPr="004216E0">
        <w:rPr>
          <w:sz w:val="22"/>
          <w:szCs w:val="22"/>
        </w:rPr>
        <w:t xml:space="preserve"> country </w:t>
      </w:r>
      <w:r w:rsidR="0088242E" w:rsidRPr="004216E0">
        <w:rPr>
          <w:sz w:val="22"/>
          <w:szCs w:val="22"/>
        </w:rPr>
        <w:t>programme</w:t>
      </w:r>
      <w:r w:rsidR="00983DC9" w:rsidRPr="004216E0">
        <w:rPr>
          <w:sz w:val="22"/>
          <w:szCs w:val="22"/>
        </w:rPr>
        <w:t xml:space="preserve"> and this </w:t>
      </w:r>
      <w:r w:rsidR="0042558C" w:rsidRPr="004216E0">
        <w:rPr>
          <w:sz w:val="22"/>
          <w:szCs w:val="22"/>
        </w:rPr>
        <w:t>has been</w:t>
      </w:r>
      <w:r w:rsidR="00983DC9" w:rsidRPr="004216E0">
        <w:rPr>
          <w:sz w:val="22"/>
          <w:szCs w:val="22"/>
        </w:rPr>
        <w:t xml:space="preserve"> a key area of focus as well in the </w:t>
      </w:r>
      <w:r w:rsidR="0042558C" w:rsidRPr="004216E0">
        <w:rPr>
          <w:sz w:val="22"/>
          <w:szCs w:val="22"/>
        </w:rPr>
        <w:t>CPAP</w:t>
      </w:r>
      <w:r w:rsidR="00983DC9" w:rsidRPr="004216E0">
        <w:rPr>
          <w:sz w:val="22"/>
          <w:szCs w:val="22"/>
        </w:rPr>
        <w:t xml:space="preserve"> (2013-2017).  Though exclusive breastfeeding rate has improved as a result and now stands at 70%, there is still more work to be done to enhance complementary feeding.  </w:t>
      </w:r>
      <w:r w:rsidRPr="004216E0">
        <w:rPr>
          <w:sz w:val="22"/>
          <w:szCs w:val="22"/>
        </w:rPr>
        <w:t xml:space="preserve">Nepal’s </w:t>
      </w:r>
      <w:r w:rsidR="0088242E" w:rsidRPr="004216E0">
        <w:rPr>
          <w:sz w:val="22"/>
          <w:szCs w:val="22"/>
        </w:rPr>
        <w:t>on-going</w:t>
      </w:r>
      <w:r w:rsidR="00983DC9" w:rsidRPr="004216E0">
        <w:rPr>
          <w:sz w:val="22"/>
          <w:szCs w:val="22"/>
        </w:rPr>
        <w:t xml:space="preserve"> efforts to scale up IYCF/MNPs needs to be well documented for future course of action to accelerate progress in this particular area of intervention which is lagging behind. </w:t>
      </w:r>
      <w:r w:rsidRPr="004216E0">
        <w:rPr>
          <w:sz w:val="22"/>
          <w:szCs w:val="22"/>
        </w:rPr>
        <w:t xml:space="preserve">This will also provide guidance to identify key action in order to move forward to </w:t>
      </w:r>
      <w:r w:rsidR="00983DC9" w:rsidRPr="004216E0">
        <w:rPr>
          <w:sz w:val="22"/>
          <w:szCs w:val="22"/>
        </w:rPr>
        <w:t xml:space="preserve">improve optimal IYCF practices </w:t>
      </w:r>
      <w:r w:rsidRPr="004216E0">
        <w:rPr>
          <w:sz w:val="22"/>
          <w:szCs w:val="22"/>
        </w:rPr>
        <w:t>as per WHO/UNICEF recommendations.</w:t>
      </w:r>
    </w:p>
    <w:p w14:paraId="3B1F6895" w14:textId="77777777" w:rsidR="00540395" w:rsidRPr="004216E0" w:rsidRDefault="00540395" w:rsidP="001C2479">
      <w:pPr>
        <w:pStyle w:val="ListParagraph"/>
        <w:ind w:left="0"/>
        <w:rPr>
          <w:sz w:val="22"/>
          <w:szCs w:val="22"/>
          <w:lang w:val="en-GB"/>
        </w:rPr>
      </w:pPr>
    </w:p>
    <w:p w14:paraId="3EFBE4BC" w14:textId="0CE25DBF" w:rsidR="00540395" w:rsidRPr="004216E0" w:rsidRDefault="00D83888" w:rsidP="00D83888">
      <w:pPr>
        <w:pStyle w:val="ListParagraph"/>
        <w:keepNext/>
        <w:widowControl w:val="0"/>
        <w:numPr>
          <w:ilvl w:val="0"/>
          <w:numId w:val="11"/>
        </w:numPr>
        <w:tabs>
          <w:tab w:val="left" w:pos="360"/>
        </w:tabs>
        <w:autoSpaceDE w:val="0"/>
        <w:autoSpaceDN w:val="0"/>
        <w:adjustRightInd w:val="0"/>
        <w:spacing w:before="240" w:after="60"/>
        <w:ind w:left="0" w:firstLine="0"/>
        <w:outlineLvl w:val="0"/>
        <w:rPr>
          <w:b/>
          <w:bCs/>
          <w:kern w:val="32"/>
          <w:sz w:val="22"/>
          <w:szCs w:val="22"/>
          <w:u w:val="single"/>
        </w:rPr>
      </w:pPr>
      <w:r w:rsidRPr="004216E0">
        <w:rPr>
          <w:b/>
          <w:bCs/>
          <w:kern w:val="32"/>
          <w:sz w:val="22"/>
          <w:szCs w:val="22"/>
          <w:u w:val="single"/>
        </w:rPr>
        <w:t>GOAL/ OBJECTIVE:</w:t>
      </w:r>
      <w:r w:rsidR="005D0646">
        <w:rPr>
          <w:b/>
          <w:bCs/>
          <w:kern w:val="32"/>
          <w:sz w:val="22"/>
          <w:szCs w:val="22"/>
        </w:rPr>
        <w:t xml:space="preserve">   </w:t>
      </w:r>
      <w:r w:rsidR="005D0646" w:rsidRPr="005D0646">
        <w:rPr>
          <w:b/>
          <w:bCs/>
          <w:kern w:val="32"/>
          <w:sz w:val="22"/>
          <w:szCs w:val="22"/>
          <w:highlight w:val="yellow"/>
        </w:rPr>
        <w:t>(Update based on survey)</w:t>
      </w:r>
    </w:p>
    <w:p w14:paraId="6082DA82" w14:textId="77777777" w:rsidR="00540395" w:rsidRPr="004216E0" w:rsidRDefault="00540395" w:rsidP="001C2479">
      <w:pPr>
        <w:pStyle w:val="ListParagraph"/>
        <w:ind w:left="0"/>
        <w:jc w:val="both"/>
        <w:rPr>
          <w:sz w:val="22"/>
          <w:szCs w:val="22"/>
        </w:rPr>
      </w:pPr>
    </w:p>
    <w:p w14:paraId="1705A1BE" w14:textId="2A2288A4" w:rsidR="00540395" w:rsidRPr="004216E0" w:rsidRDefault="00540395" w:rsidP="001C2479">
      <w:pPr>
        <w:pStyle w:val="ListParagraph"/>
        <w:ind w:left="0"/>
        <w:jc w:val="both"/>
        <w:rPr>
          <w:sz w:val="22"/>
          <w:szCs w:val="22"/>
        </w:rPr>
      </w:pPr>
      <w:r w:rsidRPr="004216E0">
        <w:rPr>
          <w:sz w:val="22"/>
          <w:szCs w:val="22"/>
        </w:rPr>
        <w:t>The basic purpose of the In</w:t>
      </w:r>
      <w:r w:rsidR="00983DC9" w:rsidRPr="004216E0">
        <w:rPr>
          <w:sz w:val="22"/>
          <w:szCs w:val="22"/>
        </w:rPr>
        <w:t xml:space="preserve">stitutional </w:t>
      </w:r>
      <w:r w:rsidRPr="004216E0">
        <w:rPr>
          <w:sz w:val="22"/>
          <w:szCs w:val="22"/>
        </w:rPr>
        <w:t xml:space="preserve">Contract is to </w:t>
      </w:r>
      <w:r w:rsidR="00983DC9" w:rsidRPr="004216E0">
        <w:rPr>
          <w:sz w:val="22"/>
          <w:szCs w:val="22"/>
        </w:rPr>
        <w:t xml:space="preserve">organize, plan and </w:t>
      </w:r>
      <w:r w:rsidR="00983DC9" w:rsidRPr="00054235">
        <w:rPr>
          <w:sz w:val="22"/>
          <w:szCs w:val="22"/>
        </w:rPr>
        <w:t xml:space="preserve">undertake </w:t>
      </w:r>
      <w:r w:rsidR="0042558C" w:rsidRPr="00054235">
        <w:rPr>
          <w:sz w:val="22"/>
          <w:szCs w:val="22"/>
        </w:rPr>
        <w:t xml:space="preserve">a </w:t>
      </w:r>
      <w:r w:rsidR="00E93811">
        <w:rPr>
          <w:sz w:val="22"/>
          <w:szCs w:val="22"/>
        </w:rPr>
        <w:t>follow-up</w:t>
      </w:r>
      <w:r w:rsidR="00E93811" w:rsidRPr="00054235">
        <w:rPr>
          <w:sz w:val="22"/>
          <w:szCs w:val="22"/>
        </w:rPr>
        <w:t xml:space="preserve"> </w:t>
      </w:r>
      <w:r w:rsidR="00983DC9" w:rsidRPr="004216E0">
        <w:rPr>
          <w:sz w:val="22"/>
          <w:szCs w:val="22"/>
        </w:rPr>
        <w:t>survey as per the proposed methodology highlighted in this TOR</w:t>
      </w:r>
      <w:r w:rsidR="00054235">
        <w:rPr>
          <w:sz w:val="22"/>
          <w:szCs w:val="22"/>
        </w:rPr>
        <w:t xml:space="preserve"> and full follow-up survey protocol</w:t>
      </w:r>
      <w:r w:rsidR="00F4052C" w:rsidRPr="004216E0">
        <w:rPr>
          <w:sz w:val="22"/>
          <w:szCs w:val="22"/>
        </w:rPr>
        <w:t xml:space="preserve">, </w:t>
      </w:r>
      <w:r w:rsidRPr="004216E0">
        <w:rPr>
          <w:sz w:val="22"/>
          <w:szCs w:val="22"/>
        </w:rPr>
        <w:t xml:space="preserve">in line with the latest global </w:t>
      </w:r>
      <w:r w:rsidR="00F4052C" w:rsidRPr="004216E0">
        <w:rPr>
          <w:sz w:val="22"/>
          <w:szCs w:val="22"/>
        </w:rPr>
        <w:t xml:space="preserve">nutrition survey quality </w:t>
      </w:r>
      <w:r w:rsidRPr="004216E0">
        <w:rPr>
          <w:sz w:val="22"/>
          <w:szCs w:val="22"/>
        </w:rPr>
        <w:t xml:space="preserve">standards and guidelines, and draws from other country </w:t>
      </w:r>
      <w:r w:rsidR="00F4052C" w:rsidRPr="004216E0">
        <w:rPr>
          <w:sz w:val="22"/>
          <w:szCs w:val="22"/>
        </w:rPr>
        <w:t>findings on efficacy and effectiveness of IYCF/MNPs</w:t>
      </w:r>
      <w:r w:rsidRPr="004216E0">
        <w:rPr>
          <w:sz w:val="22"/>
          <w:szCs w:val="22"/>
        </w:rPr>
        <w:t>.</w:t>
      </w:r>
    </w:p>
    <w:p w14:paraId="4E1ABACF" w14:textId="77777777" w:rsidR="00540395" w:rsidRPr="004216E0" w:rsidRDefault="00540395" w:rsidP="001C2479">
      <w:pPr>
        <w:pStyle w:val="ListParagraph"/>
        <w:ind w:left="0"/>
        <w:jc w:val="both"/>
        <w:rPr>
          <w:sz w:val="22"/>
          <w:szCs w:val="22"/>
        </w:rPr>
      </w:pPr>
    </w:p>
    <w:p w14:paraId="727D674B" w14:textId="77777777" w:rsidR="00540395" w:rsidRPr="004216E0" w:rsidRDefault="00540395" w:rsidP="00F4052C">
      <w:pPr>
        <w:pStyle w:val="ListParagraph"/>
        <w:ind w:left="0"/>
        <w:jc w:val="both"/>
        <w:rPr>
          <w:sz w:val="22"/>
          <w:szCs w:val="22"/>
        </w:rPr>
      </w:pPr>
      <w:r w:rsidRPr="004216E0">
        <w:rPr>
          <w:sz w:val="22"/>
          <w:szCs w:val="22"/>
        </w:rPr>
        <w:t>The objective of In</w:t>
      </w:r>
      <w:r w:rsidR="00F4052C" w:rsidRPr="004216E0">
        <w:rPr>
          <w:sz w:val="22"/>
          <w:szCs w:val="22"/>
        </w:rPr>
        <w:t xml:space="preserve">stitutional </w:t>
      </w:r>
      <w:r w:rsidRPr="004216E0">
        <w:rPr>
          <w:sz w:val="22"/>
          <w:szCs w:val="22"/>
        </w:rPr>
        <w:t>Contract under the SSA is as follows:</w:t>
      </w:r>
    </w:p>
    <w:p w14:paraId="4FF0AF1E" w14:textId="77777777" w:rsidR="003F193C" w:rsidRPr="004216E0" w:rsidRDefault="003F193C" w:rsidP="00F4052C">
      <w:pPr>
        <w:pStyle w:val="ListParagraph"/>
        <w:ind w:left="0"/>
        <w:jc w:val="both"/>
        <w:rPr>
          <w:sz w:val="22"/>
          <w:szCs w:val="22"/>
        </w:rPr>
      </w:pPr>
    </w:p>
    <w:p w14:paraId="5F7AE9F0" w14:textId="73F82B5F" w:rsidR="00540395" w:rsidRPr="004216E0" w:rsidRDefault="003F193C" w:rsidP="00F4052C">
      <w:pPr>
        <w:pStyle w:val="ListParagraph"/>
        <w:ind w:left="0"/>
        <w:jc w:val="both"/>
        <w:rPr>
          <w:sz w:val="22"/>
          <w:szCs w:val="22"/>
        </w:rPr>
      </w:pPr>
      <w:r w:rsidRPr="004216E0">
        <w:rPr>
          <w:sz w:val="22"/>
          <w:szCs w:val="22"/>
        </w:rPr>
        <w:t xml:space="preserve">Under the guidance of the Chief of Nutrition Section and Nutrition Specialist, and in close collaboration with the </w:t>
      </w:r>
      <w:r w:rsidR="0042558C" w:rsidRPr="004216E0">
        <w:rPr>
          <w:sz w:val="22"/>
          <w:szCs w:val="22"/>
        </w:rPr>
        <w:t xml:space="preserve">Child Health Division of the MoHP and </w:t>
      </w:r>
      <w:r w:rsidRPr="004216E0">
        <w:rPr>
          <w:sz w:val="22"/>
          <w:szCs w:val="22"/>
        </w:rPr>
        <w:t>key stakeholders:</w:t>
      </w:r>
    </w:p>
    <w:p w14:paraId="096D8671" w14:textId="0D51EA9F" w:rsidR="00540395" w:rsidRPr="004216E0" w:rsidRDefault="003F193C" w:rsidP="00F4052C">
      <w:pPr>
        <w:pStyle w:val="ListParagraph"/>
        <w:numPr>
          <w:ilvl w:val="0"/>
          <w:numId w:val="6"/>
        </w:numPr>
        <w:spacing w:after="200" w:line="276" w:lineRule="auto"/>
        <w:ind w:left="0" w:firstLine="0"/>
        <w:jc w:val="both"/>
        <w:rPr>
          <w:sz w:val="22"/>
          <w:szCs w:val="22"/>
        </w:rPr>
      </w:pPr>
      <w:r w:rsidRPr="004216E0">
        <w:rPr>
          <w:sz w:val="22"/>
          <w:szCs w:val="22"/>
        </w:rPr>
        <w:t>To develop a detailed operational and logistics plan</w:t>
      </w:r>
      <w:r w:rsidR="00147131" w:rsidRPr="004216E0">
        <w:rPr>
          <w:sz w:val="22"/>
          <w:szCs w:val="22"/>
        </w:rPr>
        <w:t>,</w:t>
      </w:r>
      <w:r w:rsidRPr="004216E0">
        <w:rPr>
          <w:sz w:val="22"/>
          <w:szCs w:val="22"/>
        </w:rPr>
        <w:t xml:space="preserve"> </w:t>
      </w:r>
      <w:r w:rsidR="00147131" w:rsidRPr="004216E0">
        <w:rPr>
          <w:sz w:val="22"/>
          <w:szCs w:val="22"/>
        </w:rPr>
        <w:t xml:space="preserve">questionnaires, data collection instruments and formats, </w:t>
      </w:r>
      <w:r w:rsidRPr="004216E0">
        <w:rPr>
          <w:sz w:val="22"/>
          <w:szCs w:val="22"/>
        </w:rPr>
        <w:t xml:space="preserve">and guideline/training materials for field workers to collect IYCF/MNPs </w:t>
      </w:r>
      <w:r w:rsidR="00E93811">
        <w:rPr>
          <w:sz w:val="22"/>
          <w:szCs w:val="22"/>
        </w:rPr>
        <w:t>follow-up</w:t>
      </w:r>
      <w:r w:rsidR="00E93811" w:rsidRPr="00054235">
        <w:rPr>
          <w:sz w:val="22"/>
          <w:szCs w:val="22"/>
        </w:rPr>
        <w:t xml:space="preserve"> </w:t>
      </w:r>
      <w:r w:rsidR="00147131" w:rsidRPr="00054235">
        <w:rPr>
          <w:sz w:val="22"/>
          <w:szCs w:val="22"/>
        </w:rPr>
        <w:t xml:space="preserve">data </w:t>
      </w:r>
      <w:r w:rsidRPr="004216E0">
        <w:rPr>
          <w:sz w:val="22"/>
          <w:szCs w:val="22"/>
        </w:rPr>
        <w:t>as per the proposed method</w:t>
      </w:r>
      <w:r w:rsidR="00B80997" w:rsidRPr="004216E0">
        <w:rPr>
          <w:sz w:val="22"/>
          <w:szCs w:val="22"/>
        </w:rPr>
        <w:t>o</w:t>
      </w:r>
      <w:r w:rsidRPr="004216E0">
        <w:rPr>
          <w:sz w:val="22"/>
          <w:szCs w:val="22"/>
        </w:rPr>
        <w:t>logy</w:t>
      </w:r>
      <w:r w:rsidR="00540395" w:rsidRPr="004216E0">
        <w:rPr>
          <w:sz w:val="22"/>
          <w:szCs w:val="22"/>
        </w:rPr>
        <w:t>.</w:t>
      </w:r>
    </w:p>
    <w:p w14:paraId="49CB3FE4" w14:textId="0AD54D55" w:rsidR="003F193C" w:rsidRPr="004216E0" w:rsidRDefault="00540395" w:rsidP="00F4052C">
      <w:pPr>
        <w:pStyle w:val="ListParagraph"/>
        <w:numPr>
          <w:ilvl w:val="0"/>
          <w:numId w:val="6"/>
        </w:numPr>
        <w:spacing w:after="200" w:line="276" w:lineRule="auto"/>
        <w:ind w:left="0" w:firstLine="0"/>
        <w:jc w:val="both"/>
        <w:rPr>
          <w:sz w:val="22"/>
          <w:szCs w:val="22"/>
        </w:rPr>
      </w:pPr>
      <w:r w:rsidRPr="004216E0">
        <w:rPr>
          <w:sz w:val="22"/>
          <w:szCs w:val="22"/>
        </w:rPr>
        <w:t xml:space="preserve">To </w:t>
      </w:r>
      <w:r w:rsidR="003F193C" w:rsidRPr="004216E0">
        <w:rPr>
          <w:sz w:val="22"/>
          <w:szCs w:val="22"/>
        </w:rPr>
        <w:t xml:space="preserve">recruit and train field workers to collect the necessary data with </w:t>
      </w:r>
      <w:r w:rsidR="00147131" w:rsidRPr="004216E0">
        <w:rPr>
          <w:sz w:val="22"/>
          <w:szCs w:val="22"/>
        </w:rPr>
        <w:t xml:space="preserve">a </w:t>
      </w:r>
      <w:r w:rsidR="003F193C" w:rsidRPr="00054235">
        <w:rPr>
          <w:sz w:val="22"/>
          <w:szCs w:val="22"/>
        </w:rPr>
        <w:t xml:space="preserve">robust </w:t>
      </w:r>
      <w:r w:rsidR="00054235">
        <w:rPr>
          <w:sz w:val="22"/>
          <w:szCs w:val="22"/>
        </w:rPr>
        <w:t>and</w:t>
      </w:r>
      <w:r w:rsidR="00054235" w:rsidRPr="00054235">
        <w:rPr>
          <w:sz w:val="22"/>
          <w:szCs w:val="22"/>
        </w:rPr>
        <w:t xml:space="preserve"> </w:t>
      </w:r>
      <w:r w:rsidR="00147131" w:rsidRPr="00054235">
        <w:rPr>
          <w:sz w:val="22"/>
          <w:szCs w:val="22"/>
        </w:rPr>
        <w:t xml:space="preserve">strong </w:t>
      </w:r>
      <w:r w:rsidR="003F193C" w:rsidRPr="004216E0">
        <w:rPr>
          <w:sz w:val="22"/>
          <w:szCs w:val="22"/>
        </w:rPr>
        <w:t>supervision and quality assurance mechanism.</w:t>
      </w:r>
    </w:p>
    <w:p w14:paraId="155EF96E" w14:textId="77777777" w:rsidR="003F193C" w:rsidRPr="004216E0" w:rsidRDefault="003F193C" w:rsidP="00F4052C">
      <w:pPr>
        <w:pStyle w:val="ListParagraph"/>
        <w:numPr>
          <w:ilvl w:val="0"/>
          <w:numId w:val="6"/>
        </w:numPr>
        <w:spacing w:after="200" w:line="276" w:lineRule="auto"/>
        <w:ind w:left="0" w:firstLine="0"/>
        <w:jc w:val="both"/>
        <w:rPr>
          <w:sz w:val="22"/>
          <w:szCs w:val="22"/>
        </w:rPr>
      </w:pPr>
      <w:r w:rsidRPr="004216E0">
        <w:rPr>
          <w:sz w:val="22"/>
          <w:szCs w:val="22"/>
        </w:rPr>
        <w:t>To develop a detailed plan of analysis and report outline through a consultative process involving the key stakeholders.</w:t>
      </w:r>
    </w:p>
    <w:p w14:paraId="77939E24" w14:textId="77777777" w:rsidR="003F193C" w:rsidRPr="004216E0" w:rsidRDefault="003F193C" w:rsidP="00F4052C">
      <w:pPr>
        <w:pStyle w:val="ListParagraph"/>
        <w:numPr>
          <w:ilvl w:val="0"/>
          <w:numId w:val="6"/>
        </w:numPr>
        <w:spacing w:after="200" w:line="276" w:lineRule="auto"/>
        <w:ind w:left="0" w:firstLine="0"/>
        <w:jc w:val="both"/>
        <w:rPr>
          <w:sz w:val="22"/>
          <w:szCs w:val="22"/>
        </w:rPr>
      </w:pPr>
      <w:r w:rsidRPr="004216E0">
        <w:rPr>
          <w:sz w:val="22"/>
          <w:szCs w:val="22"/>
        </w:rPr>
        <w:t>To ensure that data collection procedures, including logistical handling and transportation of biological samples are in line with global recommendations, and standards</w:t>
      </w:r>
      <w:r w:rsidR="00E4444A" w:rsidRPr="004216E0">
        <w:rPr>
          <w:sz w:val="22"/>
          <w:szCs w:val="22"/>
        </w:rPr>
        <w:t>.</w:t>
      </w:r>
    </w:p>
    <w:p w14:paraId="7526B938" w14:textId="77777777" w:rsidR="00540395" w:rsidRPr="004216E0" w:rsidRDefault="003F193C" w:rsidP="00F4052C">
      <w:pPr>
        <w:pStyle w:val="ListParagraph"/>
        <w:numPr>
          <w:ilvl w:val="0"/>
          <w:numId w:val="6"/>
        </w:numPr>
        <w:spacing w:after="200" w:line="276" w:lineRule="auto"/>
        <w:ind w:left="0" w:firstLine="0"/>
        <w:jc w:val="both"/>
        <w:rPr>
          <w:sz w:val="22"/>
          <w:szCs w:val="22"/>
        </w:rPr>
      </w:pPr>
      <w:r w:rsidRPr="004216E0">
        <w:rPr>
          <w:sz w:val="22"/>
          <w:szCs w:val="22"/>
        </w:rPr>
        <w:t>To undertake data consolidation, review, cleaning, analysis in line with the plan of analysis and report outline</w:t>
      </w:r>
      <w:r w:rsidR="004D5BBE" w:rsidRPr="004216E0">
        <w:rPr>
          <w:sz w:val="22"/>
          <w:szCs w:val="22"/>
        </w:rPr>
        <w:t>, meeting</w:t>
      </w:r>
      <w:r w:rsidR="00B80997" w:rsidRPr="004216E0">
        <w:rPr>
          <w:sz w:val="22"/>
          <w:szCs w:val="22"/>
        </w:rPr>
        <w:t xml:space="preserve"> global scientific study and reporting standards.</w:t>
      </w:r>
    </w:p>
    <w:p w14:paraId="699C9A25" w14:textId="77777777" w:rsidR="00540395" w:rsidRPr="004216E0" w:rsidRDefault="00540395" w:rsidP="00F4052C">
      <w:pPr>
        <w:pStyle w:val="ListParagraph"/>
        <w:ind w:left="0"/>
        <w:jc w:val="both"/>
        <w:rPr>
          <w:sz w:val="22"/>
          <w:szCs w:val="22"/>
        </w:rPr>
      </w:pPr>
    </w:p>
    <w:p w14:paraId="37D26093" w14:textId="57A40914" w:rsidR="00540395" w:rsidRPr="004216E0" w:rsidRDefault="0030200B" w:rsidP="00D83888">
      <w:pPr>
        <w:pStyle w:val="ListParagraph"/>
        <w:keepNext/>
        <w:widowControl w:val="0"/>
        <w:numPr>
          <w:ilvl w:val="0"/>
          <w:numId w:val="11"/>
        </w:numPr>
        <w:tabs>
          <w:tab w:val="left" w:pos="360"/>
        </w:tabs>
        <w:autoSpaceDE w:val="0"/>
        <w:autoSpaceDN w:val="0"/>
        <w:adjustRightInd w:val="0"/>
        <w:spacing w:before="240" w:after="60"/>
        <w:ind w:left="0" w:firstLine="0"/>
        <w:outlineLvl w:val="0"/>
        <w:rPr>
          <w:b/>
          <w:bCs/>
          <w:kern w:val="32"/>
          <w:sz w:val="22"/>
          <w:szCs w:val="22"/>
          <w:u w:val="single"/>
        </w:rPr>
      </w:pPr>
      <w:r w:rsidRPr="004216E0">
        <w:rPr>
          <w:b/>
          <w:bCs/>
          <w:kern w:val="32"/>
          <w:sz w:val="22"/>
          <w:szCs w:val="22"/>
          <w:u w:val="single"/>
        </w:rPr>
        <w:t>EXPECTED OUTPUTS (DELIVERABLES)</w:t>
      </w:r>
      <w:r w:rsidR="00A30E59" w:rsidRPr="004216E0">
        <w:rPr>
          <w:b/>
          <w:bCs/>
          <w:kern w:val="32"/>
          <w:sz w:val="22"/>
          <w:szCs w:val="22"/>
          <w:u w:val="single"/>
        </w:rPr>
        <w:t xml:space="preserve"> </w:t>
      </w:r>
      <w:r w:rsidRPr="004216E0">
        <w:rPr>
          <w:b/>
          <w:bCs/>
          <w:kern w:val="32"/>
          <w:sz w:val="22"/>
          <w:szCs w:val="22"/>
          <w:u w:val="single"/>
        </w:rPr>
        <w:t>AND ACTIVITIES</w:t>
      </w:r>
      <w:r w:rsidR="005D0646">
        <w:rPr>
          <w:bCs/>
          <w:kern w:val="32"/>
          <w:sz w:val="22"/>
          <w:szCs w:val="22"/>
        </w:rPr>
        <w:t xml:space="preserve">  </w:t>
      </w:r>
      <w:r w:rsidR="005D0646" w:rsidRPr="005D0646">
        <w:rPr>
          <w:b/>
          <w:bCs/>
          <w:kern w:val="32"/>
          <w:sz w:val="22"/>
          <w:szCs w:val="22"/>
          <w:highlight w:val="yellow"/>
        </w:rPr>
        <w:t>(Update based on survey)</w:t>
      </w:r>
    </w:p>
    <w:p w14:paraId="1CCFA6CB" w14:textId="77777777" w:rsidR="00D83888" w:rsidRPr="004216E0" w:rsidRDefault="00D83888" w:rsidP="00D83888">
      <w:pPr>
        <w:pStyle w:val="ListParagraph"/>
        <w:keepNext/>
        <w:widowControl w:val="0"/>
        <w:tabs>
          <w:tab w:val="left" w:pos="360"/>
        </w:tabs>
        <w:autoSpaceDE w:val="0"/>
        <w:autoSpaceDN w:val="0"/>
        <w:adjustRightInd w:val="0"/>
        <w:spacing w:before="240" w:after="60"/>
        <w:ind w:left="0"/>
        <w:outlineLvl w:val="0"/>
        <w:rPr>
          <w:b/>
          <w:bCs/>
          <w:kern w:val="32"/>
          <w:sz w:val="22"/>
          <w:szCs w:val="22"/>
          <w:u w:val="single"/>
        </w:rPr>
      </w:pPr>
    </w:p>
    <w:p w14:paraId="653E86D8" w14:textId="0C0F4EDA" w:rsidR="007C1E12" w:rsidRPr="007C1E12" w:rsidRDefault="00260504"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ja-JP"/>
        </w:rPr>
      </w:pPr>
      <w:r>
        <w:rPr>
          <w:rFonts w:ascii="Times New Roman" w:eastAsia="Times New Roman" w:hAnsi="Times New Roman" w:cs="Times New Roman"/>
          <w:b/>
          <w:lang w:val="en-US" w:eastAsia="ja-JP"/>
        </w:rPr>
        <w:t>Expected Output 1</w:t>
      </w:r>
      <w:r w:rsidR="00472DB2" w:rsidRPr="008601EE">
        <w:rPr>
          <w:rFonts w:ascii="Times New Roman" w:eastAsia="Times New Roman" w:hAnsi="Times New Roman" w:cs="Times New Roman"/>
          <w:lang w:eastAsia="ja-JP"/>
        </w:rPr>
        <w:t>:</w:t>
      </w:r>
      <w:r w:rsidR="00472DB2" w:rsidRPr="008601EE">
        <w:rPr>
          <w:rFonts w:ascii="Times New Roman" w:eastAsia="Times New Roman" w:hAnsi="Times New Roman" w:cs="Times New Roman"/>
          <w:b/>
          <w:lang w:eastAsia="ja-JP"/>
        </w:rPr>
        <w:t xml:space="preserve"> </w:t>
      </w:r>
      <w:r w:rsidR="00472DB2" w:rsidRPr="008601EE">
        <w:rPr>
          <w:rFonts w:ascii="Times New Roman" w:eastAsia="Times New Roman" w:hAnsi="Times New Roman" w:cs="Times New Roman"/>
          <w:lang w:eastAsia="ja-JP"/>
        </w:rPr>
        <w:t xml:space="preserve">Based on a careful review of the survey TOR, operational </w:t>
      </w:r>
      <w:r w:rsidR="00E4444A">
        <w:rPr>
          <w:rFonts w:ascii="Times New Roman" w:eastAsia="Times New Roman" w:hAnsi="Times New Roman" w:cs="Times New Roman"/>
          <w:lang w:eastAsia="ja-JP"/>
        </w:rPr>
        <w:t xml:space="preserve">and logistical </w:t>
      </w:r>
      <w:r w:rsidR="00472DB2" w:rsidRPr="008601EE">
        <w:rPr>
          <w:rFonts w:ascii="Times New Roman" w:eastAsia="Times New Roman" w:hAnsi="Times New Roman" w:cs="Times New Roman"/>
          <w:lang w:eastAsia="ja-JP"/>
        </w:rPr>
        <w:t>plan</w:t>
      </w:r>
      <w:r>
        <w:rPr>
          <w:rFonts w:ascii="Times New Roman" w:eastAsia="Times New Roman" w:hAnsi="Times New Roman" w:cs="Times New Roman"/>
          <w:lang w:eastAsia="ja-JP"/>
        </w:rPr>
        <w:t xml:space="preserve">, questionnaires, </w:t>
      </w:r>
      <w:r w:rsidR="007C1E12">
        <w:rPr>
          <w:rFonts w:ascii="Times New Roman" w:eastAsia="Times New Roman" w:hAnsi="Times New Roman" w:cs="Times New Roman"/>
          <w:lang w:eastAsia="ja-JP"/>
        </w:rPr>
        <w:t xml:space="preserve">supervisors’ and </w:t>
      </w:r>
      <w:r>
        <w:rPr>
          <w:rFonts w:ascii="Times New Roman" w:eastAsia="Times New Roman" w:hAnsi="Times New Roman" w:cs="Times New Roman"/>
          <w:lang w:eastAsia="ja-JP"/>
        </w:rPr>
        <w:t>fieldworkers</w:t>
      </w:r>
      <w:r w:rsidR="007C1E12">
        <w:rPr>
          <w:rFonts w:ascii="Times New Roman" w:eastAsia="Times New Roman" w:hAnsi="Times New Roman" w:cs="Times New Roman"/>
          <w:lang w:eastAsia="ja-JP"/>
        </w:rPr>
        <w:t>’</w:t>
      </w:r>
      <w:r>
        <w:rPr>
          <w:rFonts w:ascii="Times New Roman" w:eastAsia="Times New Roman" w:hAnsi="Times New Roman" w:cs="Times New Roman"/>
          <w:lang w:eastAsia="ja-JP"/>
        </w:rPr>
        <w:t xml:space="preserve"> guidelines and training materials</w:t>
      </w:r>
      <w:r w:rsidR="00472DB2" w:rsidRPr="008601E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 xml:space="preserve">are </w:t>
      </w:r>
      <w:r w:rsidRPr="007C1E12">
        <w:rPr>
          <w:rFonts w:ascii="Times New Roman" w:eastAsia="Times New Roman" w:hAnsi="Times New Roman" w:cs="Times New Roman"/>
          <w:lang w:eastAsia="ja-JP"/>
        </w:rPr>
        <w:t xml:space="preserve">completed </w:t>
      </w:r>
      <w:r w:rsidR="00BB7842">
        <w:rPr>
          <w:rFonts w:ascii="Times New Roman" w:eastAsia="Times New Roman" w:hAnsi="Times New Roman" w:cs="Times New Roman"/>
          <w:b/>
          <w:i/>
          <w:lang w:eastAsia="ja-JP"/>
        </w:rPr>
        <w:t>by Mar</w:t>
      </w:r>
      <w:r w:rsidR="0042558C">
        <w:rPr>
          <w:rFonts w:ascii="Times New Roman" w:eastAsia="Times New Roman" w:hAnsi="Times New Roman" w:cs="Times New Roman"/>
          <w:b/>
          <w:i/>
          <w:lang w:eastAsia="ja-JP"/>
        </w:rPr>
        <w:t>ch</w:t>
      </w:r>
      <w:r w:rsidR="007C1E12" w:rsidRPr="007C1E12">
        <w:rPr>
          <w:rFonts w:ascii="Times New Roman" w:eastAsia="Times New Roman" w:hAnsi="Times New Roman" w:cs="Times New Roman"/>
          <w:b/>
          <w:i/>
          <w:lang w:eastAsia="ja-JP"/>
        </w:rPr>
        <w:t xml:space="preserve"> 201</w:t>
      </w:r>
      <w:r w:rsidR="0042558C">
        <w:rPr>
          <w:rFonts w:ascii="Times New Roman" w:eastAsia="Times New Roman" w:hAnsi="Times New Roman" w:cs="Times New Roman"/>
          <w:b/>
          <w:i/>
          <w:lang w:eastAsia="ja-JP"/>
        </w:rPr>
        <w:t>5</w:t>
      </w:r>
      <w:r w:rsidR="007C1E12" w:rsidRPr="007C1E12">
        <w:rPr>
          <w:rFonts w:ascii="Times New Roman" w:eastAsia="Times New Roman" w:hAnsi="Times New Roman" w:cs="Times New Roman"/>
          <w:b/>
          <w:i/>
          <w:lang w:eastAsia="ja-JP"/>
        </w:rPr>
        <w:t>.</w:t>
      </w:r>
    </w:p>
    <w:p w14:paraId="2AC80927" w14:textId="77777777" w:rsidR="007C1E12"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p>
    <w:p w14:paraId="5713DA3C" w14:textId="6D7A629B" w:rsidR="007C1E12"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r>
        <w:rPr>
          <w:rFonts w:ascii="Times New Roman" w:eastAsia="Times New Roman" w:hAnsi="Times New Roman" w:cs="Times New Roman"/>
          <w:b/>
          <w:lang w:eastAsia="ja-JP"/>
        </w:rPr>
        <w:t>Deliverable</w:t>
      </w:r>
      <w:r w:rsidRPr="008601EE">
        <w:rPr>
          <w:rFonts w:ascii="Times New Roman" w:eastAsia="Times New Roman" w:hAnsi="Times New Roman" w:cs="Times New Roman"/>
          <w:b/>
          <w:lang w:eastAsia="ja-JP"/>
        </w:rPr>
        <w:t xml:space="preserve"> 1:</w:t>
      </w:r>
      <w:r w:rsidRPr="008601EE">
        <w:rPr>
          <w:rFonts w:ascii="Times New Roman" w:eastAsia="Times New Roman" w:hAnsi="Times New Roman" w:cs="Times New Roman"/>
          <w:lang w:eastAsia="ja-JP"/>
        </w:rPr>
        <w:t xml:space="preserve">  Detailed operational plan </w:t>
      </w:r>
      <w:r>
        <w:rPr>
          <w:rFonts w:ascii="Times New Roman" w:eastAsia="Times New Roman" w:hAnsi="Times New Roman" w:cs="Times New Roman"/>
          <w:lang w:eastAsia="ja-JP"/>
        </w:rPr>
        <w:t>document</w:t>
      </w:r>
      <w:r w:rsidRPr="008601EE">
        <w:rPr>
          <w:rFonts w:ascii="Times New Roman" w:eastAsia="Times New Roman" w:hAnsi="Times New Roman" w:cs="Times New Roman"/>
          <w:lang w:eastAsia="ja-JP"/>
        </w:rPr>
        <w:t xml:space="preserve">, including timelines, roles and responsibilities to recruit, train, and undertake data collection, entry and analysis with monitoring and supervision mechanisms in place to assure quality data collection and management for the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sidRPr="008601EE">
        <w:rPr>
          <w:rFonts w:ascii="Times New Roman" w:eastAsia="Times New Roman" w:hAnsi="Times New Roman" w:cs="Times New Roman"/>
          <w:lang w:eastAsia="ja-JP"/>
        </w:rPr>
        <w:t>impact evaluation survey in Achham and Kapilvastu districts</w:t>
      </w:r>
      <w:r>
        <w:rPr>
          <w:rFonts w:ascii="Times New Roman" w:eastAsia="Times New Roman" w:hAnsi="Times New Roman" w:cs="Times New Roman"/>
          <w:lang w:eastAsia="ja-JP"/>
        </w:rPr>
        <w:t>, supervisors’ and fieldworkers’ guidelines and  training materials.</w:t>
      </w:r>
      <w:r w:rsidRPr="008601EE">
        <w:rPr>
          <w:rFonts w:ascii="Times New Roman" w:eastAsia="Times New Roman" w:hAnsi="Times New Roman" w:cs="Times New Roman"/>
          <w:lang w:eastAsia="ja-JP"/>
        </w:rPr>
        <w:t xml:space="preserve"> </w:t>
      </w:r>
    </w:p>
    <w:p w14:paraId="2FA80B10" w14:textId="77777777" w:rsidR="007C1E12"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p>
    <w:p w14:paraId="5CBD216E" w14:textId="5324DD4B" w:rsidR="00472DB2" w:rsidRPr="007C1E12"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ja-JP"/>
        </w:rPr>
      </w:pPr>
      <w:r w:rsidRPr="007C1E12">
        <w:rPr>
          <w:rFonts w:ascii="Times New Roman" w:eastAsia="Times New Roman" w:hAnsi="Times New Roman" w:cs="Times New Roman"/>
          <w:b/>
          <w:lang w:eastAsia="ja-JP"/>
        </w:rPr>
        <w:t>Expected Output 2:</w:t>
      </w:r>
      <w:r>
        <w:rPr>
          <w:rFonts w:ascii="Times New Roman" w:eastAsia="Times New Roman" w:hAnsi="Times New Roman" w:cs="Times New Roman"/>
          <w:lang w:eastAsia="ja-JP"/>
        </w:rPr>
        <w:t xml:space="preserve">  Supervisors and </w:t>
      </w:r>
      <w:r w:rsidR="00260504">
        <w:rPr>
          <w:rFonts w:ascii="Times New Roman" w:eastAsia="Times New Roman" w:hAnsi="Times New Roman" w:cs="Times New Roman"/>
          <w:lang w:eastAsia="ja-JP"/>
        </w:rPr>
        <w:t xml:space="preserve">field workers that will undertake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sidR="00472DB2" w:rsidRPr="008601EE">
        <w:rPr>
          <w:rFonts w:ascii="Times New Roman" w:eastAsia="Times New Roman" w:hAnsi="Times New Roman" w:cs="Times New Roman"/>
          <w:lang w:eastAsia="ja-JP"/>
        </w:rPr>
        <w:t>impact evaluation survey in Achham and Kapilvastu districts</w:t>
      </w:r>
      <w:r>
        <w:rPr>
          <w:rFonts w:ascii="Times New Roman" w:eastAsia="Times New Roman" w:hAnsi="Times New Roman" w:cs="Times New Roman"/>
          <w:lang w:eastAsia="ja-JP"/>
        </w:rPr>
        <w:t xml:space="preserve"> are recruited, trained, and research instruments are pre-tested and finalized</w:t>
      </w:r>
      <w:r w:rsidR="00472DB2" w:rsidRPr="0030200B">
        <w:rPr>
          <w:rFonts w:ascii="Times New Roman" w:eastAsia="Times New Roman" w:hAnsi="Times New Roman" w:cs="Times New Roman"/>
          <w:b/>
          <w:lang w:eastAsia="ja-JP"/>
        </w:rPr>
        <w:t xml:space="preserve"> </w:t>
      </w:r>
      <w:r w:rsidR="00472DB2" w:rsidRPr="007C1E12">
        <w:rPr>
          <w:rFonts w:ascii="Times New Roman" w:eastAsia="Times New Roman" w:hAnsi="Times New Roman" w:cs="Times New Roman"/>
          <w:b/>
          <w:i/>
          <w:lang w:eastAsia="ja-JP"/>
        </w:rPr>
        <w:t xml:space="preserve">by </w:t>
      </w:r>
      <w:r w:rsidRPr="007C1E12">
        <w:rPr>
          <w:rFonts w:ascii="Times New Roman" w:eastAsia="Times New Roman" w:hAnsi="Times New Roman" w:cs="Times New Roman"/>
          <w:b/>
          <w:i/>
          <w:lang w:eastAsia="ja-JP"/>
        </w:rPr>
        <w:t xml:space="preserve">the end of </w:t>
      </w:r>
      <w:r w:rsidR="006D5C17">
        <w:rPr>
          <w:rFonts w:ascii="Times New Roman" w:eastAsia="Times New Roman" w:hAnsi="Times New Roman" w:cs="Times New Roman"/>
          <w:b/>
          <w:i/>
          <w:lang w:eastAsia="ja-JP"/>
        </w:rPr>
        <w:t>July 2015</w:t>
      </w:r>
      <w:r w:rsidR="00E4444A" w:rsidRPr="007C1E12">
        <w:rPr>
          <w:rFonts w:ascii="Times New Roman" w:eastAsia="Times New Roman" w:hAnsi="Times New Roman" w:cs="Times New Roman"/>
          <w:b/>
          <w:i/>
          <w:lang w:eastAsia="ja-JP"/>
        </w:rPr>
        <w:t>.</w:t>
      </w:r>
    </w:p>
    <w:p w14:paraId="5EB850C6" w14:textId="77777777" w:rsidR="008601EE" w:rsidRDefault="008601EE"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5FFFB7A2" w14:textId="41E2AB40" w:rsidR="00472DB2" w:rsidRPr="008601EE"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r>
        <w:rPr>
          <w:rFonts w:ascii="Times New Roman" w:eastAsia="Times New Roman" w:hAnsi="Times New Roman" w:cs="Times New Roman"/>
          <w:b/>
          <w:lang w:eastAsia="ja-JP"/>
        </w:rPr>
        <w:t>Deliverable</w:t>
      </w:r>
      <w:r w:rsidRPr="008601EE">
        <w:rPr>
          <w:rFonts w:ascii="Times New Roman" w:eastAsia="Times New Roman" w:hAnsi="Times New Roman" w:cs="Times New Roman"/>
          <w:b/>
          <w:lang w:eastAsia="ja-JP"/>
        </w:rPr>
        <w:t xml:space="preserve"> </w:t>
      </w:r>
      <w:r>
        <w:rPr>
          <w:rFonts w:ascii="Times New Roman" w:eastAsia="Times New Roman" w:hAnsi="Times New Roman" w:cs="Times New Roman"/>
          <w:b/>
          <w:lang w:eastAsia="ja-JP"/>
        </w:rPr>
        <w:t>2</w:t>
      </w:r>
      <w:r w:rsidRPr="008601EE">
        <w:rPr>
          <w:rFonts w:ascii="Times New Roman" w:eastAsia="Times New Roman" w:hAnsi="Times New Roman" w:cs="Times New Roman"/>
          <w:b/>
          <w:lang w:eastAsia="ja-JP"/>
        </w:rPr>
        <w:t>:</w:t>
      </w:r>
      <w:r w:rsidRPr="008601E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T</w:t>
      </w:r>
      <w:r w:rsidR="00260504">
        <w:rPr>
          <w:rFonts w:ascii="Times New Roman" w:eastAsia="Times New Roman" w:hAnsi="Times New Roman" w:cs="Times New Roman"/>
          <w:lang w:eastAsia="ja-JP"/>
        </w:rPr>
        <w:t xml:space="preserve">rained field workers </w:t>
      </w:r>
      <w:r>
        <w:rPr>
          <w:rFonts w:ascii="Times New Roman" w:eastAsia="Times New Roman" w:hAnsi="Times New Roman" w:cs="Times New Roman"/>
          <w:lang w:eastAsia="ja-JP"/>
        </w:rPr>
        <w:t xml:space="preserve">and supervisors </w:t>
      </w:r>
      <w:r w:rsidR="00175887">
        <w:rPr>
          <w:rFonts w:ascii="Times New Roman" w:eastAsia="Times New Roman" w:hAnsi="Times New Roman" w:cs="Times New Roman"/>
          <w:lang w:eastAsia="ja-JP"/>
        </w:rPr>
        <w:t xml:space="preserve">in close consultation with CDC </w:t>
      </w:r>
      <w:r w:rsidR="00260504">
        <w:rPr>
          <w:rFonts w:ascii="Times New Roman" w:eastAsia="Times New Roman" w:hAnsi="Times New Roman" w:cs="Times New Roman"/>
          <w:lang w:eastAsia="ja-JP"/>
        </w:rPr>
        <w:t>as per the detail</w:t>
      </w:r>
      <w:r w:rsidR="000C053D">
        <w:rPr>
          <w:rFonts w:ascii="Times New Roman" w:eastAsia="Times New Roman" w:hAnsi="Times New Roman" w:cs="Times New Roman"/>
          <w:lang w:eastAsia="ja-JP"/>
        </w:rPr>
        <w:t>s</w:t>
      </w:r>
      <w:r w:rsidR="00260504">
        <w:rPr>
          <w:rFonts w:ascii="Times New Roman" w:eastAsia="Times New Roman" w:hAnsi="Times New Roman" w:cs="Times New Roman"/>
          <w:lang w:eastAsia="ja-JP"/>
        </w:rPr>
        <w:t xml:space="preserve"> in the TOR</w:t>
      </w:r>
      <w:r>
        <w:rPr>
          <w:rFonts w:ascii="Times New Roman" w:eastAsia="Times New Roman" w:hAnsi="Times New Roman" w:cs="Times New Roman"/>
          <w:lang w:eastAsia="ja-JP"/>
        </w:rPr>
        <w:t xml:space="preserve"> are available to undertake the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 xml:space="preserve">survey, and </w:t>
      </w:r>
      <w:r w:rsidR="00A30E59">
        <w:rPr>
          <w:rFonts w:ascii="Times New Roman" w:eastAsia="Times New Roman" w:hAnsi="Times New Roman" w:cs="Times New Roman"/>
          <w:lang w:eastAsia="ja-JP"/>
        </w:rPr>
        <w:t xml:space="preserve">required quantity of </w:t>
      </w:r>
      <w:r>
        <w:rPr>
          <w:rFonts w:ascii="Times New Roman" w:eastAsia="Times New Roman" w:hAnsi="Times New Roman" w:cs="Times New Roman"/>
          <w:lang w:eastAsia="ja-JP"/>
        </w:rPr>
        <w:t>pre-tested and finalized questionnaires and research instruments</w:t>
      </w:r>
      <w:r w:rsidR="00A30E59">
        <w:rPr>
          <w:rFonts w:ascii="Times New Roman" w:eastAsia="Times New Roman" w:hAnsi="Times New Roman" w:cs="Times New Roman"/>
          <w:lang w:eastAsia="ja-JP"/>
        </w:rPr>
        <w:t xml:space="preserve"> are available</w:t>
      </w:r>
      <w:r w:rsidR="00260504">
        <w:rPr>
          <w:rFonts w:ascii="Times New Roman" w:eastAsia="Times New Roman" w:hAnsi="Times New Roman" w:cs="Times New Roman"/>
          <w:lang w:eastAsia="ja-JP"/>
        </w:rPr>
        <w:t>.</w:t>
      </w:r>
    </w:p>
    <w:p w14:paraId="7034BDC8" w14:textId="77777777" w:rsidR="008601EE" w:rsidRDefault="008601EE"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32618C21" w14:textId="35C9615C" w:rsidR="00472DB2" w:rsidRPr="0030200B" w:rsidRDefault="007C1E12"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r>
        <w:rPr>
          <w:rFonts w:ascii="Times New Roman" w:eastAsia="Times New Roman" w:hAnsi="Times New Roman" w:cs="Times New Roman"/>
          <w:b/>
          <w:lang w:eastAsia="ja-JP"/>
        </w:rPr>
        <w:t>Expected Output 3</w:t>
      </w:r>
      <w:r w:rsidR="00472DB2" w:rsidRPr="008601EE">
        <w:rPr>
          <w:rFonts w:ascii="Times New Roman" w:eastAsia="Times New Roman" w:hAnsi="Times New Roman" w:cs="Times New Roman"/>
          <w:b/>
          <w:lang w:eastAsia="ja-JP"/>
        </w:rPr>
        <w:t xml:space="preserve">: </w:t>
      </w:r>
      <w:r w:rsidR="00A30E59" w:rsidRPr="00A30E59">
        <w:rPr>
          <w:rFonts w:ascii="Times New Roman" w:eastAsia="Times New Roman" w:hAnsi="Times New Roman" w:cs="Times New Roman"/>
          <w:lang w:eastAsia="ja-JP"/>
        </w:rPr>
        <w:t>Q</w:t>
      </w:r>
      <w:r w:rsidR="00A30E59">
        <w:rPr>
          <w:rFonts w:ascii="Times New Roman" w:eastAsia="Times New Roman" w:hAnsi="Times New Roman" w:cs="Times New Roman"/>
          <w:lang w:eastAsia="ja-JP"/>
        </w:rPr>
        <w:t xml:space="preserve">uality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sidR="00472DB2" w:rsidRPr="008601EE">
        <w:rPr>
          <w:rFonts w:ascii="Times New Roman" w:eastAsia="Times New Roman" w:hAnsi="Times New Roman" w:cs="Times New Roman"/>
          <w:lang w:eastAsia="ja-JP"/>
        </w:rPr>
        <w:t xml:space="preserve">impact evaluation survey in Achham and Kapilvastu </w:t>
      </w:r>
      <w:r w:rsidR="00472DB2" w:rsidRPr="007C1E12">
        <w:rPr>
          <w:rFonts w:ascii="Times New Roman" w:eastAsia="Times New Roman" w:hAnsi="Times New Roman" w:cs="Times New Roman"/>
          <w:lang w:eastAsia="ja-JP"/>
        </w:rPr>
        <w:t xml:space="preserve">districts </w:t>
      </w:r>
      <w:r w:rsidR="00A30E59">
        <w:rPr>
          <w:rFonts w:ascii="Times New Roman" w:eastAsia="Times New Roman" w:hAnsi="Times New Roman" w:cs="Times New Roman"/>
          <w:lang w:eastAsia="ja-JP"/>
        </w:rPr>
        <w:t>is conducted in</w:t>
      </w:r>
      <w:r w:rsidR="004216E0">
        <w:rPr>
          <w:rFonts w:ascii="Times New Roman" w:eastAsia="Times New Roman" w:hAnsi="Times New Roman" w:cs="Times New Roman"/>
          <w:lang w:eastAsia="ja-JP"/>
        </w:rPr>
        <w:t xml:space="preserve"> </w:t>
      </w:r>
      <w:r w:rsidR="0042558C">
        <w:rPr>
          <w:rFonts w:ascii="Times New Roman" w:eastAsia="Times New Roman" w:hAnsi="Times New Roman" w:cs="Times New Roman"/>
          <w:b/>
          <w:i/>
          <w:lang w:eastAsia="ja-JP"/>
        </w:rPr>
        <w:t>December</w:t>
      </w:r>
      <w:r w:rsidR="00A30E59" w:rsidRPr="00A30E59">
        <w:rPr>
          <w:rFonts w:ascii="Times New Roman" w:eastAsia="Times New Roman" w:hAnsi="Times New Roman" w:cs="Times New Roman"/>
          <w:b/>
          <w:i/>
          <w:lang w:eastAsia="ja-JP"/>
        </w:rPr>
        <w:t xml:space="preserve"> </w:t>
      </w:r>
      <w:r w:rsidR="006D5C17">
        <w:rPr>
          <w:rFonts w:ascii="Times New Roman" w:eastAsia="Times New Roman" w:hAnsi="Times New Roman" w:cs="Times New Roman"/>
          <w:b/>
          <w:i/>
          <w:lang w:eastAsia="ja-JP"/>
        </w:rPr>
        <w:t>2015</w:t>
      </w:r>
      <w:r w:rsidR="00ED6E24">
        <w:rPr>
          <w:rFonts w:ascii="Times New Roman" w:eastAsia="Times New Roman" w:hAnsi="Times New Roman" w:cs="Times New Roman"/>
          <w:b/>
          <w:i/>
          <w:lang w:eastAsia="ja-JP"/>
        </w:rPr>
        <w:t>-February 2016</w:t>
      </w:r>
      <w:r w:rsidR="00A30E59">
        <w:rPr>
          <w:rFonts w:ascii="Times New Roman" w:eastAsia="Times New Roman" w:hAnsi="Times New Roman" w:cs="Times New Roman"/>
          <w:b/>
          <w:i/>
          <w:lang w:eastAsia="ja-JP"/>
        </w:rPr>
        <w:t>.</w:t>
      </w:r>
    </w:p>
    <w:p w14:paraId="6349AC2C" w14:textId="77777777" w:rsidR="008601EE" w:rsidRDefault="008601EE"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1C5EFA30" w14:textId="1FB261FE" w:rsidR="00472DB2" w:rsidRDefault="00A30E59"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r>
        <w:rPr>
          <w:rFonts w:ascii="Times New Roman" w:eastAsia="Times New Roman" w:hAnsi="Times New Roman" w:cs="Times New Roman"/>
          <w:b/>
          <w:lang w:eastAsia="ja-JP"/>
        </w:rPr>
        <w:t xml:space="preserve">Deliverable </w:t>
      </w:r>
      <w:r w:rsidR="0042558C">
        <w:rPr>
          <w:rFonts w:ascii="Times New Roman" w:eastAsia="Times New Roman" w:hAnsi="Times New Roman" w:cs="Times New Roman"/>
          <w:b/>
          <w:lang w:eastAsia="ja-JP"/>
        </w:rPr>
        <w:t>3</w:t>
      </w:r>
      <w:r w:rsidR="00472DB2" w:rsidRPr="008601EE">
        <w:rPr>
          <w:rFonts w:ascii="Times New Roman" w:eastAsia="Times New Roman" w:hAnsi="Times New Roman" w:cs="Times New Roman"/>
          <w:b/>
          <w:lang w:eastAsia="ja-JP"/>
        </w:rPr>
        <w:t>:</w:t>
      </w:r>
      <w:r w:rsidR="00472DB2" w:rsidRPr="008601EE">
        <w:rPr>
          <w:rFonts w:ascii="Times New Roman" w:eastAsia="Times New Roman" w:hAnsi="Times New Roman" w:cs="Times New Roman"/>
          <w:lang w:eastAsia="ja-JP"/>
        </w:rPr>
        <w:t xml:space="preserve">  High standard quality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sidR="00472DB2" w:rsidRPr="008601EE">
        <w:rPr>
          <w:rFonts w:ascii="Times New Roman" w:eastAsia="Times New Roman" w:hAnsi="Times New Roman" w:cs="Times New Roman"/>
          <w:lang w:eastAsia="ja-JP"/>
        </w:rPr>
        <w:t xml:space="preserve">impact evaluation survey </w:t>
      </w:r>
      <w:r>
        <w:rPr>
          <w:rFonts w:ascii="Times New Roman" w:eastAsia="Times New Roman" w:hAnsi="Times New Roman" w:cs="Times New Roman"/>
          <w:lang w:eastAsia="ja-JP"/>
        </w:rPr>
        <w:t xml:space="preserve">data </w:t>
      </w:r>
      <w:r w:rsidR="00472DB2" w:rsidRPr="008601EE">
        <w:rPr>
          <w:rFonts w:ascii="Times New Roman" w:eastAsia="Times New Roman" w:hAnsi="Times New Roman" w:cs="Times New Roman"/>
          <w:lang w:eastAsia="ja-JP"/>
        </w:rPr>
        <w:t xml:space="preserve">in Achham and Kapilvastu districts </w:t>
      </w:r>
      <w:r>
        <w:rPr>
          <w:rFonts w:ascii="Times New Roman" w:eastAsia="Times New Roman" w:hAnsi="Times New Roman" w:cs="Times New Roman"/>
          <w:lang w:eastAsia="ja-JP"/>
        </w:rPr>
        <w:t xml:space="preserve">is collected and available </w:t>
      </w:r>
      <w:r w:rsidR="00472DB2" w:rsidRPr="008601EE">
        <w:rPr>
          <w:rFonts w:ascii="Times New Roman" w:eastAsia="Times New Roman" w:hAnsi="Times New Roman" w:cs="Times New Roman"/>
          <w:lang w:eastAsia="ja-JP"/>
        </w:rPr>
        <w:t>(assure data is reliable and valid)</w:t>
      </w:r>
      <w:r>
        <w:rPr>
          <w:rFonts w:ascii="Times New Roman" w:eastAsia="Times New Roman" w:hAnsi="Times New Roman" w:cs="Times New Roman"/>
          <w:lang w:eastAsia="ja-JP"/>
        </w:rPr>
        <w:t>.</w:t>
      </w:r>
      <w:r w:rsidR="00472DB2" w:rsidRPr="008601EE">
        <w:rPr>
          <w:rFonts w:ascii="Times New Roman" w:eastAsia="Times New Roman" w:hAnsi="Times New Roman" w:cs="Times New Roman"/>
          <w:lang w:eastAsia="ja-JP"/>
        </w:rPr>
        <w:t xml:space="preserve"> </w:t>
      </w:r>
    </w:p>
    <w:p w14:paraId="57D41FC2" w14:textId="77777777" w:rsidR="004D7356" w:rsidRDefault="004D7356"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p>
    <w:p w14:paraId="7FD3444B" w14:textId="4E58EE0B" w:rsidR="004D7356" w:rsidRDefault="004D7356"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r w:rsidRPr="004D7356">
        <w:rPr>
          <w:rFonts w:ascii="Times New Roman" w:eastAsia="Times New Roman" w:hAnsi="Times New Roman" w:cs="Times New Roman"/>
          <w:b/>
          <w:lang w:eastAsia="ja-JP"/>
        </w:rPr>
        <w:t xml:space="preserve">Expected Output 4: </w:t>
      </w:r>
      <w:r w:rsidRPr="004D7356">
        <w:rPr>
          <w:rFonts w:ascii="Times New Roman" w:eastAsia="Times New Roman" w:hAnsi="Times New Roman" w:cs="Times New Roman"/>
          <w:lang w:eastAsia="ja-JP"/>
        </w:rPr>
        <w:t>Collected Samples are maintained for the cold-chain during transportation form survey sites to National Public Health Laboratories and then send to the respective laboratories for analysis</w:t>
      </w:r>
      <w:r>
        <w:rPr>
          <w:rFonts w:ascii="Times New Roman" w:eastAsia="Times New Roman" w:hAnsi="Times New Roman" w:cs="Times New Roman"/>
          <w:lang w:eastAsia="ja-JP"/>
        </w:rPr>
        <w:t xml:space="preserve"> by </w:t>
      </w:r>
      <w:r w:rsidR="00ED6E24">
        <w:rPr>
          <w:rFonts w:ascii="Times New Roman" w:eastAsia="Times New Roman" w:hAnsi="Times New Roman" w:cs="Times New Roman"/>
          <w:lang w:eastAsia="ja-JP"/>
        </w:rPr>
        <w:t xml:space="preserve">March </w:t>
      </w:r>
      <w:r>
        <w:rPr>
          <w:rFonts w:ascii="Times New Roman" w:eastAsia="Times New Roman" w:hAnsi="Times New Roman" w:cs="Times New Roman"/>
          <w:lang w:eastAsia="ja-JP"/>
        </w:rPr>
        <w:t>2016</w:t>
      </w:r>
      <w:r w:rsidR="00ED6E24">
        <w:rPr>
          <w:rFonts w:ascii="Times New Roman" w:eastAsia="Times New Roman" w:hAnsi="Times New Roman" w:cs="Times New Roman"/>
          <w:lang w:eastAsia="ja-JP"/>
        </w:rPr>
        <w:t xml:space="preserve">, or within three weeks of the completion of all data collection, recognizing that </w:t>
      </w:r>
      <w:r w:rsidR="00ED6E24">
        <w:rPr>
          <w:rFonts w:ascii="Times New Roman" w:eastAsia="Times New Roman" w:hAnsi="Times New Roman" w:cs="Times New Roman"/>
          <w:b/>
          <w:lang w:eastAsia="ja-JP"/>
        </w:rPr>
        <w:t>international laboratories that need additional approvals to receive specimens (e.g., China) may delay shipment.</w:t>
      </w:r>
    </w:p>
    <w:p w14:paraId="78EF26D7" w14:textId="77777777" w:rsidR="004D7356" w:rsidRDefault="004D7356"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09B20590" w14:textId="5515D5EE" w:rsidR="004D7356" w:rsidRPr="004D7356" w:rsidRDefault="004D7356"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r>
        <w:rPr>
          <w:rFonts w:ascii="Times New Roman" w:eastAsia="Times New Roman" w:hAnsi="Times New Roman" w:cs="Times New Roman"/>
          <w:b/>
          <w:lang w:eastAsia="ja-JP"/>
        </w:rPr>
        <w:t xml:space="preserve">Deliverable 4: All collected samples are </w:t>
      </w:r>
      <w:r w:rsidRPr="004D7356">
        <w:rPr>
          <w:rFonts w:ascii="Times New Roman" w:eastAsia="Times New Roman" w:hAnsi="Times New Roman" w:cs="Times New Roman"/>
          <w:lang w:eastAsia="ja-JP"/>
        </w:rPr>
        <w:t xml:space="preserve">maintained for the cold-chain during transportation </w:t>
      </w:r>
      <w:r>
        <w:rPr>
          <w:rFonts w:ascii="Times New Roman" w:eastAsia="Times New Roman" w:hAnsi="Times New Roman" w:cs="Times New Roman"/>
          <w:lang w:eastAsia="ja-JP"/>
        </w:rPr>
        <w:t>from survey districts and storage (</w:t>
      </w:r>
      <w:r w:rsidRPr="004D7356">
        <w:rPr>
          <w:rFonts w:ascii="Times New Roman" w:eastAsia="Times New Roman" w:hAnsi="Times New Roman" w:cs="Times New Roman"/>
          <w:lang w:eastAsia="ja-JP"/>
        </w:rPr>
        <w:t>National Public Health Laboratories</w:t>
      </w:r>
      <w:r>
        <w:rPr>
          <w:rFonts w:ascii="Times New Roman" w:eastAsia="Times New Roman" w:hAnsi="Times New Roman" w:cs="Times New Roman"/>
          <w:lang w:eastAsia="ja-JP"/>
        </w:rPr>
        <w:t>)</w:t>
      </w:r>
      <w:r w:rsidRPr="004D7356">
        <w:rPr>
          <w:rFonts w:ascii="Times New Roman" w:eastAsia="Times New Roman" w:hAnsi="Times New Roman" w:cs="Times New Roman"/>
          <w:lang w:eastAsia="ja-JP"/>
        </w:rPr>
        <w:t xml:space="preserve"> and </w:t>
      </w:r>
      <w:r>
        <w:rPr>
          <w:rFonts w:ascii="Times New Roman" w:eastAsia="Times New Roman" w:hAnsi="Times New Roman" w:cs="Times New Roman"/>
          <w:lang w:eastAsia="ja-JP"/>
        </w:rPr>
        <w:t xml:space="preserve">timely sent </w:t>
      </w:r>
      <w:r w:rsidRPr="004D7356">
        <w:rPr>
          <w:rFonts w:ascii="Times New Roman" w:eastAsia="Times New Roman" w:hAnsi="Times New Roman" w:cs="Times New Roman"/>
          <w:lang w:eastAsia="ja-JP"/>
        </w:rPr>
        <w:t>to the</w:t>
      </w:r>
      <w:r>
        <w:rPr>
          <w:rFonts w:ascii="Times New Roman" w:eastAsia="Times New Roman" w:hAnsi="Times New Roman" w:cs="Times New Roman"/>
          <w:lang w:eastAsia="ja-JP"/>
        </w:rPr>
        <w:t xml:space="preserve"> CDC </w:t>
      </w:r>
      <w:r w:rsidR="000C053D">
        <w:rPr>
          <w:rFonts w:ascii="Times New Roman" w:eastAsia="Times New Roman" w:hAnsi="Times New Roman" w:cs="Times New Roman"/>
          <w:lang w:eastAsia="ja-JP"/>
        </w:rPr>
        <w:t>a</w:t>
      </w:r>
      <w:r w:rsidR="006D5C17">
        <w:rPr>
          <w:rFonts w:ascii="Times New Roman" w:eastAsia="Times New Roman" w:hAnsi="Times New Roman" w:cs="Times New Roman"/>
          <w:lang w:eastAsia="ja-JP"/>
        </w:rPr>
        <w:t>ccredited</w:t>
      </w:r>
      <w:r w:rsidRPr="004D7356">
        <w:rPr>
          <w:rFonts w:ascii="Times New Roman" w:eastAsia="Times New Roman" w:hAnsi="Times New Roman" w:cs="Times New Roman"/>
          <w:lang w:eastAsia="ja-JP"/>
        </w:rPr>
        <w:t xml:space="preserve"> laboratories for analysis</w:t>
      </w:r>
      <w:r>
        <w:rPr>
          <w:rFonts w:ascii="Times New Roman" w:eastAsia="Times New Roman" w:hAnsi="Times New Roman" w:cs="Times New Roman"/>
          <w:lang w:eastAsia="ja-JP"/>
        </w:rPr>
        <w:t xml:space="preserve"> </w:t>
      </w:r>
      <w:r w:rsidRPr="004D7356">
        <w:rPr>
          <w:rFonts w:ascii="Times New Roman" w:eastAsia="Times New Roman" w:hAnsi="Times New Roman" w:cs="Times New Roman"/>
          <w:b/>
          <w:lang w:eastAsia="ja-JP"/>
        </w:rPr>
        <w:t xml:space="preserve">by </w:t>
      </w:r>
      <w:r w:rsidR="00AA2153">
        <w:rPr>
          <w:rFonts w:ascii="Times New Roman" w:eastAsia="Times New Roman" w:hAnsi="Times New Roman" w:cs="Times New Roman"/>
          <w:b/>
          <w:lang w:eastAsia="ja-JP"/>
        </w:rPr>
        <w:t>March</w:t>
      </w:r>
      <w:r w:rsidR="00AA2153" w:rsidRPr="004D7356">
        <w:rPr>
          <w:rFonts w:ascii="Times New Roman" w:eastAsia="Times New Roman" w:hAnsi="Times New Roman" w:cs="Times New Roman"/>
          <w:b/>
          <w:lang w:eastAsia="ja-JP"/>
        </w:rPr>
        <w:t xml:space="preserve"> </w:t>
      </w:r>
      <w:r w:rsidRPr="004D7356">
        <w:rPr>
          <w:rFonts w:ascii="Times New Roman" w:eastAsia="Times New Roman" w:hAnsi="Times New Roman" w:cs="Times New Roman"/>
          <w:b/>
          <w:lang w:eastAsia="ja-JP"/>
        </w:rPr>
        <w:t>2016</w:t>
      </w:r>
      <w:r w:rsidRPr="004D7356">
        <w:rPr>
          <w:rFonts w:ascii="Times New Roman" w:eastAsia="Times New Roman" w:hAnsi="Times New Roman" w:cs="Times New Roman"/>
          <w:lang w:eastAsia="ja-JP"/>
        </w:rPr>
        <w:t>.</w:t>
      </w:r>
    </w:p>
    <w:p w14:paraId="02B0D3FD" w14:textId="77777777" w:rsidR="008601EE" w:rsidRDefault="008601EE"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54C14E80" w14:textId="41BCE3A7" w:rsidR="00472DB2" w:rsidRPr="008601EE" w:rsidRDefault="00A30E59"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r>
        <w:rPr>
          <w:rFonts w:ascii="Times New Roman" w:eastAsia="Times New Roman" w:hAnsi="Times New Roman" w:cs="Times New Roman"/>
          <w:b/>
          <w:lang w:eastAsia="ja-JP"/>
        </w:rPr>
        <w:t xml:space="preserve">Expected Output </w:t>
      </w:r>
      <w:r w:rsidR="004D7356">
        <w:rPr>
          <w:rFonts w:ascii="Times New Roman" w:eastAsia="Times New Roman" w:hAnsi="Times New Roman" w:cs="Times New Roman"/>
          <w:b/>
          <w:lang w:eastAsia="ja-JP"/>
        </w:rPr>
        <w:t>5</w:t>
      </w:r>
      <w:r w:rsidR="00472DB2" w:rsidRPr="008601EE">
        <w:rPr>
          <w:rFonts w:ascii="Times New Roman" w:eastAsia="Times New Roman" w:hAnsi="Times New Roman" w:cs="Times New Roman"/>
          <w:b/>
          <w:lang w:eastAsia="ja-JP"/>
        </w:rPr>
        <w:t>:</w:t>
      </w:r>
      <w:r w:rsidR="00472DB2" w:rsidRPr="008601E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Q</w:t>
      </w:r>
      <w:r w:rsidR="00472DB2" w:rsidRPr="008601EE">
        <w:rPr>
          <w:rFonts w:ascii="Times New Roman" w:eastAsia="Times New Roman" w:hAnsi="Times New Roman" w:cs="Times New Roman"/>
          <w:lang w:eastAsia="ja-JP"/>
        </w:rPr>
        <w:t xml:space="preserve">uality data </w:t>
      </w:r>
      <w:r>
        <w:rPr>
          <w:rFonts w:ascii="Times New Roman" w:eastAsia="Times New Roman" w:hAnsi="Times New Roman" w:cs="Times New Roman"/>
          <w:lang w:eastAsia="ja-JP"/>
        </w:rPr>
        <w:t xml:space="preserve">cleaning, </w:t>
      </w:r>
      <w:r w:rsidR="00472DB2" w:rsidRPr="008601EE">
        <w:rPr>
          <w:rFonts w:ascii="Times New Roman" w:eastAsia="Times New Roman" w:hAnsi="Times New Roman" w:cs="Times New Roman"/>
          <w:lang w:eastAsia="ja-JP"/>
        </w:rPr>
        <w:t xml:space="preserve">analysis </w:t>
      </w:r>
      <w:r>
        <w:rPr>
          <w:rFonts w:ascii="Times New Roman" w:eastAsia="Times New Roman" w:hAnsi="Times New Roman" w:cs="Times New Roman"/>
          <w:lang w:eastAsia="ja-JP"/>
        </w:rPr>
        <w:t xml:space="preserve">and </w:t>
      </w:r>
      <w:r w:rsidR="00472DB2" w:rsidRPr="008601EE">
        <w:rPr>
          <w:rFonts w:ascii="Times New Roman" w:eastAsia="Times New Roman" w:hAnsi="Times New Roman" w:cs="Times New Roman"/>
          <w:lang w:eastAsia="ja-JP"/>
        </w:rPr>
        <w:t>report</w:t>
      </w:r>
      <w:r>
        <w:rPr>
          <w:rFonts w:ascii="Times New Roman" w:eastAsia="Times New Roman" w:hAnsi="Times New Roman" w:cs="Times New Roman"/>
          <w:lang w:eastAsia="ja-JP"/>
        </w:rPr>
        <w:t>ing</w:t>
      </w:r>
      <w:r w:rsidR="00472DB2" w:rsidRPr="008601E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 xml:space="preserve">are completed in </w:t>
      </w:r>
      <w:r w:rsidR="00D06FC9">
        <w:rPr>
          <w:rFonts w:ascii="Times New Roman" w:eastAsia="Times New Roman" w:hAnsi="Times New Roman" w:cs="Times New Roman"/>
          <w:lang w:eastAsia="ja-JP"/>
        </w:rPr>
        <w:t xml:space="preserve">close consultation with CDC and are in </w:t>
      </w:r>
      <w:r>
        <w:rPr>
          <w:rFonts w:ascii="Times New Roman" w:eastAsia="Times New Roman" w:hAnsi="Times New Roman" w:cs="Times New Roman"/>
          <w:lang w:eastAsia="ja-JP"/>
        </w:rPr>
        <w:t xml:space="preserve">line with global </w:t>
      </w:r>
      <w:r w:rsidR="00472DB2" w:rsidRPr="008601EE">
        <w:rPr>
          <w:rFonts w:ascii="Times New Roman" w:eastAsia="Times New Roman" w:hAnsi="Times New Roman" w:cs="Times New Roman"/>
          <w:lang w:eastAsia="ja-JP"/>
        </w:rPr>
        <w:t xml:space="preserve">scientific </w:t>
      </w:r>
      <w:r>
        <w:rPr>
          <w:rFonts w:ascii="Times New Roman" w:eastAsia="Times New Roman" w:hAnsi="Times New Roman" w:cs="Times New Roman"/>
          <w:lang w:eastAsia="ja-JP"/>
        </w:rPr>
        <w:t xml:space="preserve">standards; the main findings are presented and report finalized incorporating inputs from the key stakeholder </w:t>
      </w:r>
      <w:r w:rsidRPr="00A30E59">
        <w:rPr>
          <w:rFonts w:ascii="Times New Roman" w:eastAsia="Times New Roman" w:hAnsi="Times New Roman" w:cs="Times New Roman"/>
          <w:b/>
          <w:i/>
          <w:lang w:eastAsia="ja-JP"/>
        </w:rPr>
        <w:t xml:space="preserve">by </w:t>
      </w:r>
      <w:r w:rsidR="004D7356">
        <w:rPr>
          <w:rFonts w:ascii="Times New Roman" w:eastAsia="Times New Roman" w:hAnsi="Times New Roman" w:cs="Times New Roman"/>
          <w:b/>
          <w:i/>
          <w:lang w:eastAsia="ja-JP"/>
        </w:rPr>
        <w:t xml:space="preserve">June </w:t>
      </w:r>
      <w:r w:rsidR="0042558C">
        <w:rPr>
          <w:rFonts w:ascii="Times New Roman" w:eastAsia="Times New Roman" w:hAnsi="Times New Roman" w:cs="Times New Roman"/>
          <w:b/>
          <w:i/>
          <w:lang w:eastAsia="ja-JP"/>
        </w:rPr>
        <w:t>2016</w:t>
      </w:r>
      <w:r w:rsidR="00472DB2" w:rsidRPr="00A30E59">
        <w:rPr>
          <w:rFonts w:ascii="Times New Roman" w:eastAsia="Times New Roman" w:hAnsi="Times New Roman" w:cs="Times New Roman"/>
          <w:b/>
          <w:i/>
          <w:lang w:eastAsia="ja-JP"/>
        </w:rPr>
        <w:t>.</w:t>
      </w:r>
      <w:r w:rsidR="00472DB2" w:rsidRPr="008601EE">
        <w:rPr>
          <w:rFonts w:ascii="Times New Roman" w:eastAsia="Times New Roman" w:hAnsi="Times New Roman" w:cs="Times New Roman"/>
          <w:lang w:eastAsia="ja-JP"/>
        </w:rPr>
        <w:t xml:space="preserve">  The report need</w:t>
      </w:r>
      <w:r>
        <w:rPr>
          <w:rFonts w:ascii="Times New Roman" w:eastAsia="Times New Roman" w:hAnsi="Times New Roman" w:cs="Times New Roman"/>
          <w:lang w:eastAsia="ja-JP"/>
        </w:rPr>
        <w:t>s</w:t>
      </w:r>
      <w:r w:rsidR="00472DB2" w:rsidRPr="008601EE">
        <w:rPr>
          <w:rFonts w:ascii="Times New Roman" w:eastAsia="Times New Roman" w:hAnsi="Times New Roman" w:cs="Times New Roman"/>
          <w:lang w:eastAsia="ja-JP"/>
        </w:rPr>
        <w:t xml:space="preserve"> to follow standard scientific reporting format, professionally written and succinct (no more than </w:t>
      </w:r>
      <w:r>
        <w:rPr>
          <w:rFonts w:ascii="Times New Roman" w:eastAsia="Times New Roman" w:hAnsi="Times New Roman" w:cs="Times New Roman"/>
          <w:lang w:eastAsia="ja-JP"/>
        </w:rPr>
        <w:t>2</w:t>
      </w:r>
      <w:r w:rsidR="00AA1312" w:rsidRPr="008601EE">
        <w:rPr>
          <w:rFonts w:ascii="Times New Roman" w:eastAsia="Times New Roman" w:hAnsi="Times New Roman" w:cs="Times New Roman"/>
          <w:lang w:eastAsia="ja-JP"/>
        </w:rPr>
        <w:t xml:space="preserve">0 </w:t>
      </w:r>
      <w:r w:rsidR="00472DB2" w:rsidRPr="008601EE">
        <w:rPr>
          <w:rFonts w:ascii="Times New Roman" w:eastAsia="Times New Roman" w:hAnsi="Times New Roman" w:cs="Times New Roman"/>
          <w:lang w:eastAsia="ja-JP"/>
        </w:rPr>
        <w:t>pages per district specific report – plus consolidated comparative analysis</w:t>
      </w:r>
      <w:r w:rsidR="00AA1312" w:rsidRPr="008601EE">
        <w:rPr>
          <w:rFonts w:ascii="Times New Roman" w:eastAsia="Times New Roman" w:hAnsi="Times New Roman" w:cs="Times New Roman"/>
          <w:lang w:eastAsia="ja-JP"/>
        </w:rPr>
        <w:t>, should</w:t>
      </w:r>
      <w:r w:rsidR="00472DB2" w:rsidRPr="008601EE">
        <w:rPr>
          <w:rFonts w:ascii="Times New Roman" w:eastAsia="Times New Roman" w:hAnsi="Times New Roman" w:cs="Times New Roman"/>
          <w:lang w:eastAsia="ja-JP"/>
        </w:rPr>
        <w:t xml:space="preserve"> not be more than </w:t>
      </w:r>
      <w:r>
        <w:rPr>
          <w:rFonts w:ascii="Times New Roman" w:eastAsia="Times New Roman" w:hAnsi="Times New Roman" w:cs="Times New Roman"/>
          <w:lang w:eastAsia="ja-JP"/>
        </w:rPr>
        <w:t>4</w:t>
      </w:r>
      <w:r w:rsidR="00AA1312" w:rsidRPr="008601EE">
        <w:rPr>
          <w:rFonts w:ascii="Times New Roman" w:eastAsia="Times New Roman" w:hAnsi="Times New Roman" w:cs="Times New Roman"/>
          <w:lang w:eastAsia="ja-JP"/>
        </w:rPr>
        <w:t>0</w:t>
      </w:r>
      <w:r w:rsidR="00472DB2" w:rsidRPr="008601EE">
        <w:rPr>
          <w:rFonts w:ascii="Times New Roman" w:eastAsia="Times New Roman" w:hAnsi="Times New Roman" w:cs="Times New Roman"/>
          <w:lang w:eastAsia="ja-JP"/>
        </w:rPr>
        <w:t xml:space="preserve"> pages)</w:t>
      </w:r>
    </w:p>
    <w:p w14:paraId="16ED6A2F" w14:textId="77777777" w:rsidR="004D5BBE" w:rsidRDefault="004D5BBE"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ja-JP"/>
        </w:rPr>
      </w:pPr>
    </w:p>
    <w:p w14:paraId="2D0F43D9" w14:textId="03D455BE" w:rsidR="004D5BBE" w:rsidRPr="008601EE" w:rsidRDefault="00A30E59" w:rsidP="001312CE">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ja-JP"/>
        </w:rPr>
      </w:pPr>
      <w:r>
        <w:rPr>
          <w:rFonts w:ascii="Times New Roman" w:eastAsia="Times New Roman" w:hAnsi="Times New Roman" w:cs="Times New Roman"/>
          <w:b/>
          <w:lang w:eastAsia="ja-JP"/>
        </w:rPr>
        <w:t xml:space="preserve">Deliverable </w:t>
      </w:r>
      <w:r w:rsidR="004D5BBE" w:rsidRPr="008601EE">
        <w:rPr>
          <w:rFonts w:ascii="Times New Roman" w:eastAsia="Times New Roman" w:hAnsi="Times New Roman" w:cs="Times New Roman"/>
          <w:b/>
          <w:lang w:eastAsia="ja-JP"/>
        </w:rPr>
        <w:t xml:space="preserve"> </w:t>
      </w:r>
      <w:r w:rsidR="004D7356">
        <w:rPr>
          <w:rFonts w:ascii="Times New Roman" w:eastAsia="Times New Roman" w:hAnsi="Times New Roman" w:cs="Times New Roman"/>
          <w:b/>
          <w:lang w:eastAsia="ja-JP"/>
        </w:rPr>
        <w:t>5</w:t>
      </w:r>
      <w:r w:rsidR="004D5BBE" w:rsidRPr="008601EE">
        <w:rPr>
          <w:rFonts w:ascii="Times New Roman" w:eastAsia="Times New Roman" w:hAnsi="Times New Roman" w:cs="Times New Roman"/>
          <w:b/>
          <w:lang w:eastAsia="ja-JP"/>
        </w:rPr>
        <w:t>:</w:t>
      </w:r>
      <w:r w:rsidR="004A7897">
        <w:rPr>
          <w:rFonts w:ascii="Times New Roman" w:eastAsia="Times New Roman" w:hAnsi="Times New Roman" w:cs="Times New Roman"/>
          <w:lang w:eastAsia="ja-JP"/>
        </w:rPr>
        <w:t xml:space="preserve">  High standard quality </w:t>
      </w:r>
      <w:r w:rsidR="00E93811">
        <w:rPr>
          <w:rFonts w:ascii="Times New Roman" w:eastAsia="Times New Roman" w:hAnsi="Times New Roman" w:cs="Times New Roman"/>
          <w:lang w:eastAsia="ja-JP"/>
        </w:rPr>
        <w:t>follow-up</w:t>
      </w:r>
      <w:r w:rsidR="00E93811" w:rsidRPr="008601EE">
        <w:rPr>
          <w:rFonts w:ascii="Times New Roman" w:eastAsia="Times New Roman" w:hAnsi="Times New Roman" w:cs="Times New Roman"/>
          <w:lang w:eastAsia="ja-JP"/>
        </w:rPr>
        <w:t xml:space="preserve"> </w:t>
      </w:r>
      <w:r w:rsidR="004D5BBE" w:rsidRPr="008601EE">
        <w:rPr>
          <w:rFonts w:ascii="Times New Roman" w:eastAsia="Times New Roman" w:hAnsi="Times New Roman" w:cs="Times New Roman"/>
          <w:lang w:eastAsia="ja-JP"/>
        </w:rPr>
        <w:t xml:space="preserve">impact evaluation survey </w:t>
      </w:r>
      <w:r w:rsidR="004D5BBE">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 xml:space="preserve">final </w:t>
      </w:r>
      <w:r w:rsidR="004D5BBE">
        <w:rPr>
          <w:rFonts w:ascii="Times New Roman" w:eastAsia="Times New Roman" w:hAnsi="Times New Roman" w:cs="Times New Roman"/>
          <w:lang w:eastAsia="ja-JP"/>
        </w:rPr>
        <w:t xml:space="preserve">report for </w:t>
      </w:r>
      <w:r w:rsidR="004D5BBE" w:rsidRPr="008601EE">
        <w:rPr>
          <w:rFonts w:ascii="Times New Roman" w:eastAsia="Times New Roman" w:hAnsi="Times New Roman" w:cs="Times New Roman"/>
          <w:lang w:eastAsia="ja-JP"/>
        </w:rPr>
        <w:t>Achham and Kapilvastu districts completed</w:t>
      </w:r>
      <w:r w:rsidR="004D7356" w:rsidRPr="004D7356">
        <w:rPr>
          <w:rFonts w:ascii="Times New Roman" w:eastAsia="Times New Roman" w:hAnsi="Times New Roman" w:cs="Times New Roman"/>
          <w:b/>
          <w:i/>
          <w:lang w:eastAsia="ja-JP"/>
        </w:rPr>
        <w:t xml:space="preserve"> </w:t>
      </w:r>
      <w:r w:rsidR="004D7356" w:rsidRPr="00A30E59">
        <w:rPr>
          <w:rFonts w:ascii="Times New Roman" w:eastAsia="Times New Roman" w:hAnsi="Times New Roman" w:cs="Times New Roman"/>
          <w:b/>
          <w:i/>
          <w:lang w:eastAsia="ja-JP"/>
        </w:rPr>
        <w:t xml:space="preserve">by </w:t>
      </w:r>
      <w:r w:rsidR="004D7356">
        <w:rPr>
          <w:rFonts w:ascii="Times New Roman" w:eastAsia="Times New Roman" w:hAnsi="Times New Roman" w:cs="Times New Roman"/>
          <w:b/>
          <w:i/>
          <w:lang w:eastAsia="ja-JP"/>
        </w:rPr>
        <w:t>June 2016</w:t>
      </w:r>
      <w:r>
        <w:rPr>
          <w:rFonts w:ascii="Times New Roman" w:eastAsia="Times New Roman" w:hAnsi="Times New Roman" w:cs="Times New Roman"/>
          <w:lang w:eastAsia="ja-JP"/>
        </w:rPr>
        <w:t>.</w:t>
      </w:r>
      <w:r w:rsidR="004D5BBE" w:rsidRPr="008601EE">
        <w:rPr>
          <w:rFonts w:ascii="Times New Roman" w:eastAsia="Times New Roman" w:hAnsi="Times New Roman" w:cs="Times New Roman"/>
          <w:lang w:eastAsia="ja-JP"/>
        </w:rPr>
        <w:t xml:space="preserve"> </w:t>
      </w:r>
    </w:p>
    <w:p w14:paraId="3DAAAD34" w14:textId="77777777" w:rsidR="008601EE" w:rsidRPr="004216E0" w:rsidRDefault="008601EE" w:rsidP="00472DB2">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textAlignment w:val="baseline"/>
        <w:rPr>
          <w:rFonts w:ascii="Times New Roman" w:eastAsia="Times New Roman" w:hAnsi="Times New Roman" w:cs="Times New Roman"/>
          <w:lang w:eastAsia="ja-JP"/>
        </w:rPr>
      </w:pPr>
    </w:p>
    <w:p w14:paraId="57C387C5" w14:textId="77777777" w:rsidR="00472DB2" w:rsidRPr="004216E0" w:rsidRDefault="00472DB2" w:rsidP="00472DB2">
      <w:pPr>
        <w:tabs>
          <w:tab w:val="left" w:pos="-552"/>
          <w:tab w:val="left" w:pos="0"/>
          <w:tab w:val="left" w:pos="1440"/>
          <w:tab w:val="left" w:pos="2160"/>
          <w:tab w:val="left" w:pos="2702"/>
          <w:tab w:val="left" w:pos="3062"/>
          <w:tab w:val="left" w:pos="3422"/>
          <w:tab w:val="left" w:pos="4320"/>
        </w:tabs>
        <w:overflowPunct w:val="0"/>
        <w:autoSpaceDE w:val="0"/>
        <w:autoSpaceDN w:val="0"/>
        <w:adjustRightInd w:val="0"/>
        <w:textAlignment w:val="baseline"/>
        <w:rPr>
          <w:rFonts w:ascii="Times New Roman" w:eastAsia="Times New Roman" w:hAnsi="Times New Roman" w:cs="Times New Roman"/>
          <w:lang w:eastAsia="ja-JP"/>
        </w:rPr>
      </w:pPr>
      <w:r w:rsidRPr="004216E0">
        <w:rPr>
          <w:rFonts w:ascii="Times New Roman" w:eastAsia="Times New Roman" w:hAnsi="Times New Roman" w:cs="Times New Roman"/>
          <w:lang w:eastAsia="ja-JP"/>
        </w:rPr>
        <w:t>The</w:t>
      </w:r>
      <w:r w:rsidR="001312CE" w:rsidRPr="004216E0">
        <w:rPr>
          <w:rFonts w:ascii="Times New Roman" w:eastAsia="Times New Roman" w:hAnsi="Times New Roman" w:cs="Times New Roman"/>
          <w:lang w:eastAsia="ja-JP"/>
        </w:rPr>
        <w:t xml:space="preserve"> </w:t>
      </w:r>
      <w:r w:rsidRPr="004216E0">
        <w:rPr>
          <w:rFonts w:ascii="Times New Roman" w:eastAsia="Times New Roman" w:hAnsi="Times New Roman" w:cs="Times New Roman"/>
          <w:b/>
          <w:lang w:eastAsia="ja-JP"/>
        </w:rPr>
        <w:t xml:space="preserve">specific activities </w:t>
      </w:r>
      <w:r w:rsidRPr="004216E0">
        <w:rPr>
          <w:rFonts w:ascii="Times New Roman" w:eastAsia="Times New Roman" w:hAnsi="Times New Roman" w:cs="Times New Roman"/>
          <w:lang w:eastAsia="ja-JP"/>
        </w:rPr>
        <w:t>for the contractor are as follows to achieve the expected outputs.</w:t>
      </w:r>
    </w:p>
    <w:p w14:paraId="033C6F48" w14:textId="31FD5930" w:rsidR="00AA1312" w:rsidRPr="000C053D" w:rsidRDefault="00DB0A62" w:rsidP="00CA583E">
      <w:pPr>
        <w:pStyle w:val="ListParagraph"/>
        <w:numPr>
          <w:ilvl w:val="0"/>
          <w:numId w:val="13"/>
        </w:numPr>
        <w:contextualSpacing w:val="0"/>
        <w:jc w:val="both"/>
        <w:rPr>
          <w:sz w:val="22"/>
          <w:szCs w:val="22"/>
          <w:lang w:eastAsia="en-GB"/>
        </w:rPr>
      </w:pPr>
      <w:r w:rsidRPr="000C053D">
        <w:rPr>
          <w:sz w:val="22"/>
          <w:szCs w:val="22"/>
          <w:lang w:eastAsia="ja-JP"/>
        </w:rPr>
        <w:t>Based on the standard TOR</w:t>
      </w:r>
      <w:r w:rsidRPr="00642A40">
        <w:rPr>
          <w:sz w:val="22"/>
          <w:szCs w:val="22"/>
          <w:lang w:eastAsia="en-GB"/>
        </w:rPr>
        <w:t xml:space="preserve"> and protocol available from UNICEF, d</w:t>
      </w:r>
      <w:r w:rsidR="00472DB2" w:rsidRPr="00642A40">
        <w:rPr>
          <w:sz w:val="22"/>
          <w:szCs w:val="22"/>
          <w:lang w:eastAsia="en-GB"/>
        </w:rPr>
        <w:t>evelop a</w:t>
      </w:r>
      <w:r w:rsidR="001312CE" w:rsidRPr="00642A40">
        <w:rPr>
          <w:sz w:val="22"/>
          <w:szCs w:val="22"/>
          <w:lang w:eastAsia="en-GB"/>
        </w:rPr>
        <w:t xml:space="preserve"> detailed </w:t>
      </w:r>
      <w:r w:rsidR="00472DB2" w:rsidRPr="000C053D">
        <w:rPr>
          <w:sz w:val="22"/>
          <w:szCs w:val="22"/>
          <w:lang w:eastAsia="en-GB"/>
        </w:rPr>
        <w:t xml:space="preserve">operational </w:t>
      </w:r>
      <w:r w:rsidR="001312CE" w:rsidRPr="000C053D">
        <w:rPr>
          <w:sz w:val="22"/>
          <w:szCs w:val="22"/>
          <w:lang w:eastAsia="en-GB"/>
        </w:rPr>
        <w:t xml:space="preserve">and logistical </w:t>
      </w:r>
      <w:r w:rsidR="00472DB2" w:rsidRPr="000C053D">
        <w:rPr>
          <w:sz w:val="22"/>
          <w:szCs w:val="22"/>
          <w:lang w:eastAsia="en-GB"/>
        </w:rPr>
        <w:t>plan</w:t>
      </w:r>
      <w:r w:rsidR="001312CE" w:rsidRPr="000C053D">
        <w:rPr>
          <w:sz w:val="22"/>
          <w:szCs w:val="22"/>
          <w:lang w:eastAsia="ja-JP"/>
        </w:rPr>
        <w:t>, as well as draft questionnaires and research instruments, supervisors</w:t>
      </w:r>
      <w:r w:rsidRPr="000C053D">
        <w:rPr>
          <w:sz w:val="22"/>
          <w:szCs w:val="22"/>
          <w:lang w:eastAsia="ja-JP"/>
        </w:rPr>
        <w:t>’</w:t>
      </w:r>
      <w:r w:rsidR="001312CE" w:rsidRPr="000C053D">
        <w:rPr>
          <w:sz w:val="22"/>
          <w:szCs w:val="22"/>
          <w:lang w:eastAsia="ja-JP"/>
        </w:rPr>
        <w:t xml:space="preserve"> and fieldworkers</w:t>
      </w:r>
      <w:r w:rsidRPr="000C053D">
        <w:rPr>
          <w:sz w:val="22"/>
          <w:szCs w:val="22"/>
          <w:lang w:eastAsia="ja-JP"/>
        </w:rPr>
        <w:t>’</w:t>
      </w:r>
      <w:r w:rsidR="001312CE" w:rsidRPr="000C053D">
        <w:rPr>
          <w:sz w:val="22"/>
          <w:szCs w:val="22"/>
          <w:lang w:eastAsia="ja-JP"/>
        </w:rPr>
        <w:t xml:space="preserve"> </w:t>
      </w:r>
      <w:r w:rsidRPr="000C053D">
        <w:rPr>
          <w:sz w:val="22"/>
          <w:szCs w:val="22"/>
          <w:lang w:eastAsia="ja-JP"/>
        </w:rPr>
        <w:t xml:space="preserve">guidelines and training materials, to undertake </w:t>
      </w:r>
      <w:r w:rsidR="00AA2153">
        <w:rPr>
          <w:sz w:val="22"/>
          <w:szCs w:val="22"/>
          <w:lang w:eastAsia="ja-JP"/>
        </w:rPr>
        <w:t xml:space="preserve">the </w:t>
      </w:r>
      <w:r w:rsidR="00E93811" w:rsidRPr="00AA2153">
        <w:rPr>
          <w:sz w:val="22"/>
          <w:lang w:eastAsia="ja-JP"/>
        </w:rPr>
        <w:t xml:space="preserve">follow-up </w:t>
      </w:r>
      <w:r w:rsidRPr="000C053D">
        <w:rPr>
          <w:sz w:val="22"/>
          <w:szCs w:val="22"/>
          <w:lang w:eastAsia="ja-JP"/>
        </w:rPr>
        <w:t>impact evaluation survey in Achham and Kapilvastu districts.</w:t>
      </w:r>
      <w:r w:rsidR="00AA1312" w:rsidRPr="000C053D">
        <w:rPr>
          <w:sz w:val="22"/>
          <w:szCs w:val="22"/>
          <w:lang w:eastAsia="ja-JP"/>
        </w:rPr>
        <w:t xml:space="preserve"> </w:t>
      </w:r>
    </w:p>
    <w:p w14:paraId="4085C10C" w14:textId="202D095A" w:rsidR="00472DB2" w:rsidRPr="000C053D" w:rsidRDefault="00DB0A62" w:rsidP="00CA583E">
      <w:pPr>
        <w:pStyle w:val="ListParagraph"/>
        <w:numPr>
          <w:ilvl w:val="0"/>
          <w:numId w:val="13"/>
        </w:numPr>
        <w:contextualSpacing w:val="0"/>
        <w:jc w:val="both"/>
        <w:rPr>
          <w:sz w:val="22"/>
          <w:szCs w:val="22"/>
          <w:lang w:eastAsia="ja-JP"/>
        </w:rPr>
      </w:pPr>
      <w:r w:rsidRPr="000C053D">
        <w:rPr>
          <w:sz w:val="22"/>
          <w:szCs w:val="22"/>
          <w:lang w:eastAsia="en-GB"/>
        </w:rPr>
        <w:lastRenderedPageBreak/>
        <w:t>Recruit and t</w:t>
      </w:r>
      <w:r w:rsidR="00472DB2" w:rsidRPr="000C053D">
        <w:rPr>
          <w:sz w:val="22"/>
          <w:szCs w:val="22"/>
          <w:lang w:eastAsia="en-GB"/>
        </w:rPr>
        <w:t xml:space="preserve">rain enumerators </w:t>
      </w:r>
      <w:r w:rsidRPr="000C053D">
        <w:rPr>
          <w:sz w:val="22"/>
          <w:szCs w:val="22"/>
          <w:lang w:eastAsia="en-GB"/>
        </w:rPr>
        <w:t xml:space="preserve">to </w:t>
      </w:r>
      <w:r w:rsidR="00175887">
        <w:rPr>
          <w:sz w:val="22"/>
          <w:szCs w:val="22"/>
          <w:lang w:eastAsia="en-GB"/>
        </w:rPr>
        <w:t xml:space="preserve">complete the census and identify </w:t>
      </w:r>
      <w:r w:rsidR="00D06FC9">
        <w:rPr>
          <w:sz w:val="22"/>
          <w:szCs w:val="22"/>
          <w:lang w:eastAsia="en-GB"/>
        </w:rPr>
        <w:t>children 6-</w:t>
      </w:r>
      <w:r w:rsidR="00175887">
        <w:rPr>
          <w:sz w:val="22"/>
          <w:szCs w:val="22"/>
          <w:lang w:eastAsia="en-GB"/>
        </w:rPr>
        <w:t>23 months; identify</w:t>
      </w:r>
      <w:r w:rsidR="00175887">
        <w:rPr>
          <w:sz w:val="22"/>
          <w:szCs w:val="22"/>
          <w:lang w:eastAsia="ja-JP"/>
        </w:rPr>
        <w:t>the randomly selected</w:t>
      </w:r>
      <w:r w:rsidR="00175887" w:rsidRPr="000C053D">
        <w:rPr>
          <w:sz w:val="22"/>
          <w:szCs w:val="22"/>
          <w:lang w:eastAsia="ja-JP"/>
        </w:rPr>
        <w:t xml:space="preserve"> </w:t>
      </w:r>
      <w:r w:rsidR="00175887">
        <w:rPr>
          <w:sz w:val="22"/>
          <w:szCs w:val="22"/>
          <w:lang w:eastAsia="ja-JP"/>
        </w:rPr>
        <w:t xml:space="preserve">children and collect biological specimens </w:t>
      </w:r>
      <w:r w:rsidR="00472DB2" w:rsidRPr="000C053D">
        <w:rPr>
          <w:sz w:val="22"/>
          <w:szCs w:val="22"/>
          <w:lang w:eastAsia="ja-JP"/>
        </w:rPr>
        <w:t xml:space="preserve">following the standard survey protocol and </w:t>
      </w:r>
      <w:r w:rsidRPr="000C053D">
        <w:rPr>
          <w:sz w:val="22"/>
          <w:szCs w:val="22"/>
          <w:lang w:eastAsia="ja-JP"/>
        </w:rPr>
        <w:t xml:space="preserve">collect </w:t>
      </w:r>
      <w:r w:rsidR="00175887">
        <w:rPr>
          <w:sz w:val="22"/>
          <w:szCs w:val="22"/>
          <w:lang w:eastAsia="ja-JP"/>
        </w:rPr>
        <w:t xml:space="preserve">other </w:t>
      </w:r>
      <w:r w:rsidRPr="000C053D">
        <w:rPr>
          <w:sz w:val="22"/>
          <w:szCs w:val="22"/>
          <w:lang w:eastAsia="ja-JP"/>
        </w:rPr>
        <w:t xml:space="preserve">data using the </w:t>
      </w:r>
      <w:r w:rsidR="00472DB2" w:rsidRPr="000C053D">
        <w:rPr>
          <w:sz w:val="22"/>
          <w:szCs w:val="22"/>
          <w:lang w:eastAsia="ja-JP"/>
        </w:rPr>
        <w:t xml:space="preserve">guideline </w:t>
      </w:r>
      <w:r w:rsidRPr="000C053D">
        <w:rPr>
          <w:sz w:val="22"/>
          <w:szCs w:val="22"/>
          <w:lang w:eastAsia="ja-JP"/>
        </w:rPr>
        <w:t xml:space="preserve">and questionnaires/research instrument for the </w:t>
      </w:r>
      <w:r w:rsidR="00E93811" w:rsidRPr="00AA2153">
        <w:rPr>
          <w:sz w:val="22"/>
          <w:lang w:eastAsia="ja-JP"/>
        </w:rPr>
        <w:t xml:space="preserve">follow-up </w:t>
      </w:r>
      <w:r w:rsidR="00AA1312" w:rsidRPr="000C053D">
        <w:rPr>
          <w:sz w:val="22"/>
          <w:szCs w:val="22"/>
          <w:lang w:eastAsia="ja-JP"/>
        </w:rPr>
        <w:t>impact evaluation survey in Achham and Kapilvastu districts</w:t>
      </w:r>
      <w:r w:rsidRPr="000C053D">
        <w:rPr>
          <w:sz w:val="22"/>
          <w:szCs w:val="22"/>
          <w:lang w:eastAsia="ja-JP"/>
        </w:rPr>
        <w:t>.</w:t>
      </w:r>
      <w:r w:rsidR="00AA1312" w:rsidRPr="000C053D">
        <w:rPr>
          <w:sz w:val="22"/>
          <w:szCs w:val="22"/>
          <w:lang w:eastAsia="ja-JP"/>
        </w:rPr>
        <w:t xml:space="preserve"> </w:t>
      </w:r>
    </w:p>
    <w:p w14:paraId="664BC36C" w14:textId="77777777" w:rsidR="00CA583E" w:rsidRPr="000C053D" w:rsidRDefault="00CA583E" w:rsidP="00CA583E">
      <w:pPr>
        <w:pStyle w:val="ListParagraph"/>
        <w:numPr>
          <w:ilvl w:val="0"/>
          <w:numId w:val="13"/>
        </w:numPr>
        <w:contextualSpacing w:val="0"/>
        <w:jc w:val="both"/>
        <w:rPr>
          <w:sz w:val="22"/>
          <w:szCs w:val="22"/>
          <w:lang w:eastAsia="en-GB"/>
        </w:rPr>
      </w:pPr>
      <w:r w:rsidRPr="000C053D">
        <w:rPr>
          <w:sz w:val="22"/>
          <w:szCs w:val="22"/>
          <w:lang w:eastAsia="ja-JP"/>
        </w:rPr>
        <w:t xml:space="preserve">Pre-test and finalize questionnaires, research instruments and guidelines for use during the field survey.  </w:t>
      </w:r>
    </w:p>
    <w:p w14:paraId="039503D1" w14:textId="06455A16" w:rsidR="00FE6B72" w:rsidRPr="004216E0" w:rsidRDefault="00AA2153" w:rsidP="00CA583E">
      <w:pPr>
        <w:pStyle w:val="ListParagraph"/>
        <w:numPr>
          <w:ilvl w:val="0"/>
          <w:numId w:val="13"/>
        </w:numPr>
        <w:jc w:val="both"/>
        <w:rPr>
          <w:sz w:val="22"/>
          <w:szCs w:val="22"/>
        </w:rPr>
      </w:pPr>
      <w:r>
        <w:rPr>
          <w:sz w:val="22"/>
          <w:szCs w:val="22"/>
        </w:rPr>
        <w:t>Update maps of the 80 clusters already selected (40 in each district)</w:t>
      </w:r>
      <w:r w:rsidR="00731490">
        <w:rPr>
          <w:sz w:val="22"/>
          <w:szCs w:val="22"/>
        </w:rPr>
        <w:t xml:space="preserve"> from the baseline survey.</w:t>
      </w:r>
    </w:p>
    <w:p w14:paraId="06C02CE4" w14:textId="4ECDBD83" w:rsidR="002F0B45" w:rsidRPr="00642A40" w:rsidRDefault="00731490" w:rsidP="00CA583E">
      <w:pPr>
        <w:pStyle w:val="ListParagraph"/>
        <w:numPr>
          <w:ilvl w:val="0"/>
          <w:numId w:val="13"/>
        </w:numPr>
        <w:jc w:val="both"/>
        <w:rPr>
          <w:sz w:val="22"/>
          <w:szCs w:val="22"/>
          <w:lang w:eastAsia="ja-JP"/>
        </w:rPr>
      </w:pPr>
      <w:r>
        <w:rPr>
          <w:sz w:val="22"/>
          <w:szCs w:val="22"/>
          <w:lang w:eastAsia="ja-JP"/>
        </w:rPr>
        <w:t>C</w:t>
      </w:r>
      <w:r w:rsidR="00CA583E" w:rsidRPr="00642A40">
        <w:rPr>
          <w:sz w:val="22"/>
          <w:szCs w:val="22"/>
          <w:lang w:eastAsia="ja-JP"/>
        </w:rPr>
        <w:t xml:space="preserve">onduct </w:t>
      </w:r>
      <w:r w:rsidR="002F0B45" w:rsidRPr="00642A40">
        <w:rPr>
          <w:sz w:val="22"/>
          <w:szCs w:val="22"/>
          <w:lang w:eastAsia="ja-JP"/>
        </w:rPr>
        <w:t xml:space="preserve">a census in each of the selected clusters to identify all households with children 6–23 months.  </w:t>
      </w:r>
      <w:r w:rsidR="00CA583E" w:rsidRPr="00642A40">
        <w:rPr>
          <w:sz w:val="22"/>
          <w:szCs w:val="22"/>
          <w:lang w:eastAsia="ja-JP"/>
        </w:rPr>
        <w:t>Apply s</w:t>
      </w:r>
      <w:r w:rsidR="002F0B45" w:rsidRPr="00642A40">
        <w:rPr>
          <w:sz w:val="22"/>
          <w:szCs w:val="22"/>
          <w:lang w:eastAsia="ja-JP"/>
        </w:rPr>
        <w:t xml:space="preserve">imple random sampling </w:t>
      </w:r>
      <w:r w:rsidR="00CA583E" w:rsidRPr="00642A40">
        <w:rPr>
          <w:sz w:val="22"/>
          <w:szCs w:val="22"/>
          <w:lang w:eastAsia="ja-JP"/>
        </w:rPr>
        <w:t xml:space="preserve">method </w:t>
      </w:r>
      <w:r w:rsidR="002F0B45" w:rsidRPr="00642A40">
        <w:rPr>
          <w:sz w:val="22"/>
          <w:szCs w:val="22"/>
          <w:lang w:eastAsia="ja-JP"/>
        </w:rPr>
        <w:t>to select 3</w:t>
      </w:r>
      <w:r>
        <w:rPr>
          <w:sz w:val="22"/>
          <w:szCs w:val="22"/>
          <w:lang w:eastAsia="ja-JP"/>
        </w:rPr>
        <w:t>3</w:t>
      </w:r>
      <w:r w:rsidR="002F0B45" w:rsidRPr="00642A40">
        <w:rPr>
          <w:sz w:val="22"/>
          <w:szCs w:val="22"/>
          <w:lang w:eastAsia="ja-JP"/>
        </w:rPr>
        <w:t xml:space="preserve"> children per cluster in </w:t>
      </w:r>
      <w:r>
        <w:rPr>
          <w:sz w:val="22"/>
          <w:szCs w:val="22"/>
          <w:lang w:eastAsia="ja-JP"/>
        </w:rPr>
        <w:t xml:space="preserve">Achham </w:t>
      </w:r>
      <w:r w:rsidR="002F0B45" w:rsidRPr="00642A40">
        <w:rPr>
          <w:sz w:val="22"/>
          <w:szCs w:val="22"/>
          <w:lang w:eastAsia="ja-JP"/>
        </w:rPr>
        <w:t xml:space="preserve">district and 34 children per cluster in </w:t>
      </w:r>
      <w:r>
        <w:rPr>
          <w:sz w:val="22"/>
          <w:szCs w:val="22"/>
          <w:lang w:eastAsia="ja-JP"/>
        </w:rPr>
        <w:t xml:space="preserve">Kapilvastu </w:t>
      </w:r>
      <w:r w:rsidR="002F0B45" w:rsidRPr="00642A40">
        <w:rPr>
          <w:sz w:val="22"/>
          <w:szCs w:val="22"/>
          <w:lang w:eastAsia="ja-JP"/>
        </w:rPr>
        <w:t>district in each cluster</w:t>
      </w:r>
      <w:r w:rsidR="002F0B45" w:rsidRPr="000C053D">
        <w:rPr>
          <w:sz w:val="22"/>
          <w:szCs w:val="22"/>
          <w:lang w:eastAsia="ja-JP"/>
        </w:rPr>
        <w:t>.</w:t>
      </w:r>
      <w:r w:rsidR="00CA583E" w:rsidRPr="000C053D">
        <w:rPr>
          <w:sz w:val="22"/>
          <w:szCs w:val="22"/>
          <w:lang w:eastAsia="ja-JP"/>
        </w:rPr>
        <w:t xml:space="preserve"> </w:t>
      </w:r>
      <w:r w:rsidR="002F0B45" w:rsidRPr="000C053D">
        <w:rPr>
          <w:sz w:val="22"/>
          <w:szCs w:val="22"/>
          <w:lang w:eastAsia="ja-JP"/>
        </w:rPr>
        <w:t>If any clusters have less than the target number of eligible children (3</w:t>
      </w:r>
      <w:r>
        <w:rPr>
          <w:sz w:val="22"/>
          <w:szCs w:val="22"/>
          <w:lang w:eastAsia="ja-JP"/>
        </w:rPr>
        <w:t>3</w:t>
      </w:r>
      <w:r w:rsidR="002F0B45" w:rsidRPr="000C053D">
        <w:rPr>
          <w:sz w:val="22"/>
          <w:szCs w:val="22"/>
          <w:lang w:eastAsia="ja-JP"/>
        </w:rPr>
        <w:t xml:space="preserve"> in </w:t>
      </w:r>
      <w:r>
        <w:rPr>
          <w:sz w:val="22"/>
          <w:szCs w:val="22"/>
          <w:lang w:eastAsia="ja-JP"/>
        </w:rPr>
        <w:t xml:space="preserve">Achham </w:t>
      </w:r>
      <w:r w:rsidR="002F0B45" w:rsidRPr="000C053D">
        <w:rPr>
          <w:sz w:val="22"/>
          <w:szCs w:val="22"/>
          <w:lang w:eastAsia="ja-JP"/>
        </w:rPr>
        <w:t xml:space="preserve">and 34 in </w:t>
      </w:r>
      <w:r>
        <w:rPr>
          <w:sz w:val="22"/>
          <w:szCs w:val="22"/>
          <w:lang w:eastAsia="ja-JP"/>
        </w:rPr>
        <w:t>Kapilvastu</w:t>
      </w:r>
      <w:r w:rsidR="002F0B45" w:rsidRPr="000C053D">
        <w:rPr>
          <w:sz w:val="22"/>
          <w:szCs w:val="22"/>
          <w:lang w:eastAsia="ja-JP"/>
        </w:rPr>
        <w:t>), then all eligible children will be approached for enrollment.  There will be no replacement of children if less than the target number of children are available or if mothers/caregivers refuse to participate in the survey.  There will be no replacement of clusters if community leaders refuse to participate in the survey or clusters are inaccessible due to natural disasters or unrest.</w:t>
      </w:r>
      <w:r>
        <w:rPr>
          <w:sz w:val="22"/>
          <w:szCs w:val="22"/>
          <w:lang w:eastAsia="ja-JP"/>
        </w:rPr>
        <w:t xml:space="preserve"> There is no way to account for the bias due to refusals or inaccessibility; the sample size calculations </w:t>
      </w:r>
      <w:r w:rsidR="00BD1865">
        <w:rPr>
          <w:sz w:val="22"/>
          <w:szCs w:val="22"/>
          <w:lang w:eastAsia="ja-JP"/>
        </w:rPr>
        <w:t xml:space="preserve">are increased </w:t>
      </w:r>
      <w:r>
        <w:rPr>
          <w:sz w:val="22"/>
          <w:szCs w:val="22"/>
          <w:lang w:eastAsia="ja-JP"/>
        </w:rPr>
        <w:t>for refusals and inaccessibility.</w:t>
      </w:r>
    </w:p>
    <w:p w14:paraId="1586D0A4" w14:textId="77777777" w:rsidR="002F0B45" w:rsidRPr="000C053D" w:rsidRDefault="002F0B45" w:rsidP="00CA583E">
      <w:pPr>
        <w:pStyle w:val="ListParagraph"/>
        <w:numPr>
          <w:ilvl w:val="0"/>
          <w:numId w:val="13"/>
        </w:numPr>
        <w:jc w:val="both"/>
        <w:rPr>
          <w:sz w:val="22"/>
          <w:szCs w:val="22"/>
          <w:lang w:eastAsia="ja-JP"/>
        </w:rPr>
      </w:pPr>
      <w:r w:rsidRPr="000C053D">
        <w:rPr>
          <w:sz w:val="22"/>
          <w:szCs w:val="22"/>
          <w:lang w:eastAsia="ja-JP"/>
        </w:rPr>
        <w:t xml:space="preserve">Coordinate </w:t>
      </w:r>
      <w:r w:rsidR="00AC539A" w:rsidRPr="000C053D">
        <w:rPr>
          <w:sz w:val="22"/>
          <w:szCs w:val="22"/>
          <w:lang w:eastAsia="ja-JP"/>
        </w:rPr>
        <w:t xml:space="preserve">and supervise </w:t>
      </w:r>
      <w:r w:rsidRPr="000C053D">
        <w:rPr>
          <w:sz w:val="22"/>
          <w:szCs w:val="22"/>
          <w:lang w:eastAsia="ja-JP"/>
        </w:rPr>
        <w:t>the survey team including the biochemical team (staff nurse, lab technicians etc) to draw blood samples, transport this to nearest health facility or other appropriate specified locations for further processing/storage.</w:t>
      </w:r>
    </w:p>
    <w:p w14:paraId="6FFEE4B0" w14:textId="77777777" w:rsidR="00472DB2" w:rsidRPr="000C053D" w:rsidRDefault="00AC539A" w:rsidP="00CA583E">
      <w:pPr>
        <w:pStyle w:val="ListParagraph"/>
        <w:numPr>
          <w:ilvl w:val="0"/>
          <w:numId w:val="13"/>
        </w:numPr>
        <w:contextualSpacing w:val="0"/>
        <w:jc w:val="both"/>
        <w:rPr>
          <w:sz w:val="22"/>
          <w:szCs w:val="22"/>
          <w:lang w:eastAsia="ja-JP"/>
        </w:rPr>
      </w:pPr>
      <w:r w:rsidRPr="000C053D">
        <w:rPr>
          <w:sz w:val="22"/>
          <w:szCs w:val="22"/>
          <w:lang w:eastAsia="ja-JP"/>
        </w:rPr>
        <w:t>Undertake regular field spot check monitoring and validation of the collected data to e</w:t>
      </w:r>
      <w:r w:rsidR="00472DB2" w:rsidRPr="000C053D">
        <w:rPr>
          <w:sz w:val="22"/>
          <w:szCs w:val="22"/>
          <w:lang w:eastAsia="ja-JP"/>
        </w:rPr>
        <w:t xml:space="preserve">nsure quality </w:t>
      </w:r>
      <w:r w:rsidRPr="000C053D">
        <w:rPr>
          <w:sz w:val="22"/>
          <w:szCs w:val="22"/>
          <w:lang w:eastAsia="ja-JP"/>
        </w:rPr>
        <w:t xml:space="preserve">of data </w:t>
      </w:r>
      <w:r w:rsidR="00472DB2" w:rsidRPr="000C053D">
        <w:rPr>
          <w:sz w:val="22"/>
          <w:szCs w:val="22"/>
          <w:lang w:eastAsia="ja-JP"/>
        </w:rPr>
        <w:t>durin</w:t>
      </w:r>
      <w:r w:rsidRPr="000C053D">
        <w:rPr>
          <w:sz w:val="22"/>
          <w:szCs w:val="22"/>
          <w:lang w:eastAsia="ja-JP"/>
        </w:rPr>
        <w:t>g the survey</w:t>
      </w:r>
      <w:r w:rsidR="00472DB2" w:rsidRPr="000C053D">
        <w:rPr>
          <w:sz w:val="22"/>
          <w:szCs w:val="22"/>
          <w:lang w:eastAsia="ja-JP"/>
        </w:rPr>
        <w:t>.</w:t>
      </w:r>
    </w:p>
    <w:p w14:paraId="20982E39" w14:textId="45EC2999" w:rsidR="00472DB2" w:rsidRPr="00642A40" w:rsidRDefault="00472DB2" w:rsidP="00CA583E">
      <w:pPr>
        <w:pStyle w:val="ListParagraph"/>
        <w:numPr>
          <w:ilvl w:val="0"/>
          <w:numId w:val="13"/>
        </w:numPr>
        <w:tabs>
          <w:tab w:val="num" w:pos="720"/>
        </w:tabs>
        <w:contextualSpacing w:val="0"/>
        <w:jc w:val="both"/>
        <w:rPr>
          <w:sz w:val="22"/>
          <w:szCs w:val="22"/>
          <w:lang w:eastAsia="en-GB"/>
        </w:rPr>
      </w:pPr>
      <w:r w:rsidRPr="000C053D">
        <w:rPr>
          <w:sz w:val="22"/>
          <w:szCs w:val="22"/>
          <w:lang w:eastAsia="ja-JP"/>
        </w:rPr>
        <w:t>Use Global Positioning</w:t>
      </w:r>
      <w:r w:rsidRPr="000C053D">
        <w:rPr>
          <w:sz w:val="22"/>
          <w:szCs w:val="22"/>
          <w:lang w:eastAsia="en-GB"/>
        </w:rPr>
        <w:t xml:space="preserve"> </w:t>
      </w:r>
      <w:r w:rsidR="00AC539A" w:rsidRPr="000C053D">
        <w:rPr>
          <w:sz w:val="22"/>
          <w:szCs w:val="22"/>
          <w:lang w:eastAsia="en-GB"/>
        </w:rPr>
        <w:t>S</w:t>
      </w:r>
      <w:r w:rsidRPr="000C053D">
        <w:rPr>
          <w:sz w:val="22"/>
          <w:szCs w:val="22"/>
          <w:lang w:eastAsia="en-GB"/>
        </w:rPr>
        <w:t xml:space="preserve">ystem </w:t>
      </w:r>
      <w:r w:rsidR="00AC539A" w:rsidRPr="000C053D">
        <w:rPr>
          <w:sz w:val="22"/>
          <w:szCs w:val="22"/>
          <w:lang w:eastAsia="en-GB"/>
        </w:rPr>
        <w:t xml:space="preserve">(GPS) </w:t>
      </w:r>
      <w:r w:rsidRPr="000C053D">
        <w:rPr>
          <w:sz w:val="22"/>
          <w:szCs w:val="22"/>
          <w:lang w:eastAsia="en-GB"/>
        </w:rPr>
        <w:t>during the survey</w:t>
      </w:r>
      <w:r w:rsidR="00BD1865">
        <w:rPr>
          <w:sz w:val="22"/>
          <w:szCs w:val="22"/>
          <w:lang w:eastAsia="en-GB"/>
        </w:rPr>
        <w:t xml:space="preserve"> to collect altitude, longitude and latitude coordinates </w:t>
      </w:r>
      <w:r w:rsidR="00BD1865" w:rsidRPr="00BD1865">
        <w:rPr>
          <w:sz w:val="22"/>
        </w:rPr>
        <w:t xml:space="preserve">at each </w:t>
      </w:r>
      <w:r w:rsidR="00BD1865">
        <w:rPr>
          <w:sz w:val="22"/>
        </w:rPr>
        <w:t xml:space="preserve">selected </w:t>
      </w:r>
      <w:r w:rsidR="00BD1865" w:rsidRPr="00BD1865">
        <w:rPr>
          <w:sz w:val="22"/>
        </w:rPr>
        <w:t>household, in addition to the FCHV’s house(s) in each cluster and the nearest health facility to each cluster</w:t>
      </w:r>
      <w:r w:rsidR="00BD1865">
        <w:t xml:space="preserve">.  </w:t>
      </w:r>
      <w:r w:rsidRPr="00642A40">
        <w:rPr>
          <w:sz w:val="22"/>
          <w:szCs w:val="22"/>
          <w:lang w:eastAsia="en-GB"/>
        </w:rPr>
        <w:t>.</w:t>
      </w:r>
    </w:p>
    <w:p w14:paraId="093204F8" w14:textId="18729703" w:rsidR="00AC539A" w:rsidRPr="000C053D" w:rsidRDefault="00AC539A" w:rsidP="00AC539A">
      <w:pPr>
        <w:pStyle w:val="ListParagraph"/>
        <w:numPr>
          <w:ilvl w:val="0"/>
          <w:numId w:val="13"/>
        </w:numPr>
        <w:contextualSpacing w:val="0"/>
        <w:jc w:val="both"/>
        <w:rPr>
          <w:sz w:val="22"/>
          <w:szCs w:val="22"/>
          <w:lang w:eastAsia="en-GB"/>
        </w:rPr>
      </w:pPr>
      <w:r w:rsidRPr="00642A40">
        <w:rPr>
          <w:sz w:val="22"/>
          <w:szCs w:val="22"/>
          <w:lang w:eastAsia="en-GB"/>
        </w:rPr>
        <w:t>C</w:t>
      </w:r>
      <w:r w:rsidR="00472DB2" w:rsidRPr="00642A40">
        <w:rPr>
          <w:sz w:val="22"/>
          <w:szCs w:val="22"/>
          <w:lang w:eastAsia="en-GB"/>
        </w:rPr>
        <w:t xml:space="preserve">lean, compile, </w:t>
      </w:r>
      <w:r w:rsidRPr="00642A40">
        <w:rPr>
          <w:sz w:val="22"/>
          <w:szCs w:val="22"/>
          <w:lang w:eastAsia="en-GB"/>
        </w:rPr>
        <w:t xml:space="preserve">analyze and </w:t>
      </w:r>
      <w:r w:rsidR="00472DB2" w:rsidRPr="00642A40">
        <w:rPr>
          <w:sz w:val="22"/>
          <w:szCs w:val="22"/>
          <w:lang w:eastAsia="en-GB"/>
        </w:rPr>
        <w:t xml:space="preserve">interpret </w:t>
      </w:r>
      <w:r w:rsidRPr="00642A40">
        <w:rPr>
          <w:sz w:val="22"/>
          <w:szCs w:val="22"/>
          <w:lang w:eastAsia="en-GB"/>
        </w:rPr>
        <w:t xml:space="preserve">the findings, and prepare and finalize the </w:t>
      </w:r>
      <w:r w:rsidR="00472DB2" w:rsidRPr="00642A40">
        <w:rPr>
          <w:sz w:val="22"/>
          <w:szCs w:val="22"/>
          <w:lang w:eastAsia="en-GB"/>
        </w:rPr>
        <w:t xml:space="preserve">survey report in </w:t>
      </w:r>
      <w:r w:rsidR="00BD1865">
        <w:rPr>
          <w:sz w:val="22"/>
          <w:szCs w:val="22"/>
          <w:lang w:eastAsia="en-GB"/>
        </w:rPr>
        <w:t xml:space="preserve">close </w:t>
      </w:r>
      <w:r w:rsidR="00472DB2" w:rsidRPr="00642A40">
        <w:rPr>
          <w:sz w:val="22"/>
          <w:szCs w:val="22"/>
          <w:lang w:eastAsia="en-GB"/>
        </w:rPr>
        <w:t xml:space="preserve">coordination with the </w:t>
      </w:r>
      <w:r w:rsidR="00BD1865">
        <w:rPr>
          <w:sz w:val="22"/>
          <w:szCs w:val="22"/>
          <w:lang w:eastAsia="en-GB"/>
        </w:rPr>
        <w:t xml:space="preserve">CDC, </w:t>
      </w:r>
      <w:r w:rsidR="00472DB2" w:rsidRPr="00642A40">
        <w:rPr>
          <w:sz w:val="22"/>
          <w:szCs w:val="22"/>
          <w:lang w:eastAsia="en-GB"/>
        </w:rPr>
        <w:t>UNICEF and other partner</w:t>
      </w:r>
      <w:r w:rsidRPr="000C053D">
        <w:rPr>
          <w:sz w:val="22"/>
          <w:szCs w:val="22"/>
          <w:lang w:eastAsia="en-GB"/>
        </w:rPr>
        <w:t>s</w:t>
      </w:r>
      <w:r w:rsidR="00472DB2" w:rsidRPr="000C053D">
        <w:rPr>
          <w:sz w:val="22"/>
          <w:szCs w:val="22"/>
          <w:lang w:eastAsia="en-GB"/>
        </w:rPr>
        <w:t>.</w:t>
      </w:r>
    </w:p>
    <w:p w14:paraId="5EF563C7" w14:textId="77777777" w:rsidR="00AC539A" w:rsidRPr="000C053D" w:rsidRDefault="00AC539A" w:rsidP="00AC539A">
      <w:pPr>
        <w:pStyle w:val="ListParagraph"/>
        <w:numPr>
          <w:ilvl w:val="0"/>
          <w:numId w:val="13"/>
        </w:numPr>
        <w:contextualSpacing w:val="0"/>
        <w:jc w:val="both"/>
        <w:rPr>
          <w:sz w:val="22"/>
          <w:szCs w:val="22"/>
          <w:lang w:eastAsia="en-GB"/>
        </w:rPr>
      </w:pPr>
      <w:r w:rsidRPr="000C053D">
        <w:rPr>
          <w:sz w:val="22"/>
          <w:szCs w:val="22"/>
          <w:lang w:eastAsia="en-GB"/>
        </w:rPr>
        <w:t xml:space="preserve">NOTE: </w:t>
      </w:r>
      <w:r w:rsidR="004D5BBE" w:rsidRPr="00BD1865">
        <w:rPr>
          <w:b/>
          <w:sz w:val="22"/>
          <w:szCs w:val="22"/>
          <w:lang w:eastAsia="ja-JP"/>
        </w:rPr>
        <w:t>The blood sample analysis will be separately done by CDC, so no need to include the costs and task.</w:t>
      </w:r>
    </w:p>
    <w:p w14:paraId="0701A04A" w14:textId="77777777" w:rsidR="004D5BBE" w:rsidRPr="000C053D" w:rsidRDefault="004D5BBE" w:rsidP="00AC539A">
      <w:pPr>
        <w:jc w:val="both"/>
        <w:rPr>
          <w:lang w:eastAsia="en-GB"/>
        </w:rPr>
      </w:pPr>
      <w:r w:rsidRPr="00BD1865">
        <w:rPr>
          <w:b/>
          <w:lang w:eastAsia="ja-JP"/>
        </w:rPr>
        <w:t xml:space="preserve"> </w:t>
      </w:r>
    </w:p>
    <w:p w14:paraId="646EE5F0" w14:textId="73061303" w:rsidR="00472DB2" w:rsidRPr="005D0646" w:rsidRDefault="00472DB2" w:rsidP="004D5BBE">
      <w:pPr>
        <w:pStyle w:val="Heading1"/>
        <w:numPr>
          <w:ilvl w:val="0"/>
          <w:numId w:val="11"/>
        </w:numPr>
        <w:spacing w:after="0"/>
        <w:jc w:val="both"/>
        <w:rPr>
          <w:rFonts w:ascii="Times New Roman" w:hAnsi="Times New Roman"/>
          <w:sz w:val="22"/>
          <w:szCs w:val="22"/>
          <w:u w:val="single"/>
          <w:lang w:val="en-GB"/>
        </w:rPr>
      </w:pPr>
      <w:r w:rsidRPr="00BD1865">
        <w:rPr>
          <w:rFonts w:ascii="Times New Roman" w:hAnsi="Times New Roman"/>
          <w:sz w:val="22"/>
          <w:szCs w:val="22"/>
          <w:u w:val="single"/>
          <w:lang w:val="en-GB"/>
        </w:rPr>
        <w:t>SurvEY ORGANISATION’s SKILLS AND pERSONNEL</w:t>
      </w:r>
      <w:r w:rsidR="005D0646">
        <w:rPr>
          <w:rFonts w:ascii="Times New Roman" w:hAnsi="Times New Roman"/>
          <w:sz w:val="22"/>
          <w:szCs w:val="22"/>
          <w:u w:val="single"/>
          <w:lang w:val="en-GB"/>
        </w:rPr>
        <w:t xml:space="preserve"> </w:t>
      </w:r>
      <w:r w:rsidR="005D0646" w:rsidRPr="005D0646">
        <w:rPr>
          <w:rFonts w:ascii="Times New Roman" w:hAnsi="Times New Roman"/>
          <w:bCs/>
          <w:kern w:val="32"/>
          <w:sz w:val="22"/>
          <w:szCs w:val="22"/>
          <w:highlight w:val="yellow"/>
        </w:rPr>
        <w:t>(Update based on survey)</w:t>
      </w:r>
    </w:p>
    <w:p w14:paraId="0D7804BA" w14:textId="77777777" w:rsidR="00D83888" w:rsidRPr="000C053D" w:rsidRDefault="00D83888" w:rsidP="00472DB2">
      <w:pPr>
        <w:autoSpaceDE w:val="0"/>
        <w:autoSpaceDN w:val="0"/>
        <w:adjustRightInd w:val="0"/>
        <w:jc w:val="both"/>
        <w:rPr>
          <w:rFonts w:ascii="Times New Roman" w:eastAsia="Times New Roman" w:hAnsi="Times New Roman" w:cs="Times New Roman"/>
          <w:lang w:val="en-US"/>
        </w:rPr>
      </w:pPr>
    </w:p>
    <w:p w14:paraId="505A138F" w14:textId="77777777" w:rsidR="00472DB2" w:rsidRPr="00BB7842" w:rsidRDefault="00472DB2" w:rsidP="00472DB2">
      <w:pPr>
        <w:autoSpaceDE w:val="0"/>
        <w:autoSpaceDN w:val="0"/>
        <w:adjustRightInd w:val="0"/>
        <w:jc w:val="both"/>
        <w:rPr>
          <w:rFonts w:ascii="Times New Roman" w:eastAsia="Times New Roman" w:hAnsi="Times New Roman" w:cs="Times New Roman"/>
          <w:lang w:val="en-US"/>
        </w:rPr>
      </w:pPr>
      <w:r w:rsidRPr="00BB7842">
        <w:rPr>
          <w:rFonts w:ascii="Times New Roman" w:eastAsia="Times New Roman" w:hAnsi="Times New Roman" w:cs="Times New Roman"/>
          <w:lang w:val="en-US"/>
        </w:rPr>
        <w:t>The survey contractor will be competitively tendered but it is expected that the survey contractor have the following skills and competencies:</w:t>
      </w:r>
    </w:p>
    <w:p w14:paraId="2AAD336F" w14:textId="017C80A8" w:rsidR="00472DB2" w:rsidRPr="00BB7842" w:rsidRDefault="00472DB2" w:rsidP="00D83888">
      <w:pPr>
        <w:pStyle w:val="ListParagraph"/>
        <w:numPr>
          <w:ilvl w:val="0"/>
          <w:numId w:val="14"/>
        </w:numPr>
        <w:jc w:val="both"/>
        <w:rPr>
          <w:sz w:val="22"/>
          <w:szCs w:val="22"/>
        </w:rPr>
      </w:pPr>
      <w:r w:rsidRPr="00BB7842">
        <w:rPr>
          <w:sz w:val="22"/>
          <w:szCs w:val="22"/>
        </w:rPr>
        <w:t xml:space="preserve">In depth knowledge and skills in designing and development of </w:t>
      </w:r>
      <w:r w:rsidR="00D06FC9">
        <w:rPr>
          <w:sz w:val="22"/>
          <w:szCs w:val="22"/>
        </w:rPr>
        <w:t xml:space="preserve">complex, population based surveys involving the collection of venous blood specimens in households, </w:t>
      </w:r>
      <w:r w:rsidRPr="00BB7842">
        <w:rPr>
          <w:sz w:val="22"/>
          <w:szCs w:val="22"/>
        </w:rPr>
        <w:t>nutrition survey methodologies, quality data collection and management, analysis, interpretation of the main findings and survey report writing;</w:t>
      </w:r>
    </w:p>
    <w:p w14:paraId="519B0509" w14:textId="77777777" w:rsidR="00D83888" w:rsidRPr="00BB7842" w:rsidRDefault="00472DB2" w:rsidP="00D83888">
      <w:pPr>
        <w:pStyle w:val="ListParagraph"/>
        <w:numPr>
          <w:ilvl w:val="0"/>
          <w:numId w:val="14"/>
        </w:numPr>
        <w:jc w:val="both"/>
        <w:rPr>
          <w:sz w:val="22"/>
          <w:szCs w:val="22"/>
        </w:rPr>
      </w:pPr>
      <w:r w:rsidRPr="00BB7842">
        <w:rPr>
          <w:sz w:val="22"/>
          <w:szCs w:val="22"/>
        </w:rPr>
        <w:lastRenderedPageBreak/>
        <w:t>Evidence of previous work and performance on nutrition assessment, sur</w:t>
      </w:r>
      <w:r w:rsidR="00D83888" w:rsidRPr="00BB7842">
        <w:rPr>
          <w:sz w:val="22"/>
          <w:szCs w:val="22"/>
        </w:rPr>
        <w:t>vey organization and reporting, Proven evidence and record of nutrition assessment and survey</w:t>
      </w:r>
    </w:p>
    <w:p w14:paraId="431D10B2" w14:textId="6CB31526" w:rsidR="00AC539A" w:rsidRPr="00BB7842" w:rsidRDefault="00AC539A" w:rsidP="00AC539A">
      <w:pPr>
        <w:pStyle w:val="ListParagraph"/>
        <w:numPr>
          <w:ilvl w:val="0"/>
          <w:numId w:val="14"/>
        </w:numPr>
        <w:rPr>
          <w:sz w:val="22"/>
          <w:szCs w:val="22"/>
        </w:rPr>
      </w:pPr>
      <w:r w:rsidRPr="00BB7842">
        <w:rPr>
          <w:sz w:val="22"/>
          <w:szCs w:val="22"/>
        </w:rPr>
        <w:t>Extensive knowledge on IYCF/</w:t>
      </w:r>
      <w:r w:rsidR="00C615E9">
        <w:rPr>
          <w:sz w:val="22"/>
          <w:szCs w:val="22"/>
        </w:rPr>
        <w:t>micronutrient nutrition survey (</w:t>
      </w:r>
      <w:r w:rsidRPr="00BB7842">
        <w:rPr>
          <w:sz w:val="22"/>
          <w:szCs w:val="22"/>
        </w:rPr>
        <w:t>MNS</w:t>
      </w:r>
      <w:r w:rsidR="00C615E9">
        <w:rPr>
          <w:sz w:val="22"/>
          <w:szCs w:val="22"/>
        </w:rPr>
        <w:t>)</w:t>
      </w:r>
      <w:r w:rsidR="00D06FC9">
        <w:rPr>
          <w:sz w:val="22"/>
          <w:szCs w:val="22"/>
        </w:rPr>
        <w:t>/early childhood development (ECD)</w:t>
      </w:r>
      <w:r w:rsidRPr="00BB7842">
        <w:rPr>
          <w:sz w:val="22"/>
          <w:szCs w:val="22"/>
        </w:rPr>
        <w:t xml:space="preserve"> nutrition survey methodology </w:t>
      </w:r>
    </w:p>
    <w:p w14:paraId="4D16621E" w14:textId="1004B8B6" w:rsidR="00D83888" w:rsidRPr="00BB7842" w:rsidRDefault="00D83888" w:rsidP="00D83888">
      <w:pPr>
        <w:pStyle w:val="ListParagraph"/>
        <w:numPr>
          <w:ilvl w:val="0"/>
          <w:numId w:val="14"/>
        </w:numPr>
        <w:tabs>
          <w:tab w:val="num" w:pos="360"/>
        </w:tabs>
        <w:jc w:val="both"/>
        <w:rPr>
          <w:sz w:val="22"/>
          <w:szCs w:val="22"/>
        </w:rPr>
      </w:pPr>
      <w:r w:rsidRPr="00BB7842">
        <w:rPr>
          <w:sz w:val="22"/>
          <w:szCs w:val="22"/>
        </w:rPr>
        <w:t xml:space="preserve">Professional experience </w:t>
      </w:r>
      <w:r w:rsidR="00AC539A" w:rsidRPr="00BB7842">
        <w:rPr>
          <w:sz w:val="22"/>
          <w:szCs w:val="22"/>
        </w:rPr>
        <w:t xml:space="preserve">on </w:t>
      </w:r>
      <w:r w:rsidRPr="00BB7842">
        <w:rPr>
          <w:sz w:val="22"/>
          <w:szCs w:val="22"/>
        </w:rPr>
        <w:t>IYCF</w:t>
      </w:r>
      <w:r w:rsidR="00D06FC9">
        <w:rPr>
          <w:sz w:val="22"/>
          <w:szCs w:val="22"/>
        </w:rPr>
        <w:t>,</w:t>
      </w:r>
      <w:r w:rsidR="00AC539A" w:rsidRPr="00BB7842">
        <w:rPr>
          <w:sz w:val="22"/>
          <w:szCs w:val="22"/>
        </w:rPr>
        <w:t>MNS</w:t>
      </w:r>
      <w:r w:rsidR="00D06FC9">
        <w:rPr>
          <w:sz w:val="22"/>
          <w:szCs w:val="22"/>
        </w:rPr>
        <w:t>, ECD</w:t>
      </w:r>
      <w:r w:rsidR="00AC539A" w:rsidRPr="00BB7842">
        <w:rPr>
          <w:sz w:val="22"/>
          <w:szCs w:val="22"/>
        </w:rPr>
        <w:t xml:space="preserve"> s</w:t>
      </w:r>
      <w:r w:rsidRPr="00BB7842">
        <w:rPr>
          <w:sz w:val="22"/>
          <w:szCs w:val="22"/>
        </w:rPr>
        <w:t xml:space="preserve">urveys </w:t>
      </w:r>
      <w:r w:rsidR="00AC539A" w:rsidRPr="00BB7842">
        <w:rPr>
          <w:sz w:val="22"/>
          <w:szCs w:val="22"/>
        </w:rPr>
        <w:t>is highly desirable</w:t>
      </w:r>
      <w:r w:rsidRPr="00BB7842">
        <w:rPr>
          <w:sz w:val="22"/>
          <w:szCs w:val="22"/>
        </w:rPr>
        <w:t xml:space="preserve"> </w:t>
      </w:r>
    </w:p>
    <w:p w14:paraId="6EBEF07D" w14:textId="77777777" w:rsidR="00472DB2" w:rsidRPr="00BB7842" w:rsidRDefault="00472DB2" w:rsidP="00D83888">
      <w:pPr>
        <w:pStyle w:val="ListParagraph"/>
        <w:numPr>
          <w:ilvl w:val="0"/>
          <w:numId w:val="14"/>
        </w:numPr>
        <w:jc w:val="both"/>
        <w:rPr>
          <w:sz w:val="22"/>
          <w:szCs w:val="22"/>
        </w:rPr>
      </w:pPr>
      <w:r w:rsidRPr="00BB7842">
        <w:rPr>
          <w:sz w:val="22"/>
          <w:szCs w:val="22"/>
        </w:rPr>
        <w:t>Demonstrated ability to develop and maintain effective work relationships with counterparts and external partners;</w:t>
      </w:r>
    </w:p>
    <w:p w14:paraId="2E1CD237" w14:textId="77777777" w:rsidR="00472DB2" w:rsidRPr="00BB7842" w:rsidRDefault="00472DB2" w:rsidP="00D83888">
      <w:pPr>
        <w:pStyle w:val="ListParagraph"/>
        <w:numPr>
          <w:ilvl w:val="0"/>
          <w:numId w:val="14"/>
        </w:numPr>
        <w:jc w:val="both"/>
        <w:rPr>
          <w:sz w:val="22"/>
          <w:szCs w:val="22"/>
        </w:rPr>
      </w:pPr>
      <w:r w:rsidRPr="00BB7842">
        <w:rPr>
          <w:sz w:val="22"/>
          <w:szCs w:val="22"/>
        </w:rPr>
        <w:t>Cost effectiveness in data collection and analysis skills;</w:t>
      </w:r>
    </w:p>
    <w:p w14:paraId="22B9438D" w14:textId="202EE7B3" w:rsidR="00472DB2" w:rsidRPr="00BB7842" w:rsidRDefault="00472DB2" w:rsidP="00D83888">
      <w:pPr>
        <w:pStyle w:val="ListParagraph"/>
        <w:numPr>
          <w:ilvl w:val="0"/>
          <w:numId w:val="14"/>
        </w:numPr>
        <w:jc w:val="both"/>
        <w:rPr>
          <w:sz w:val="22"/>
          <w:szCs w:val="22"/>
        </w:rPr>
      </w:pPr>
      <w:r w:rsidRPr="00BB7842">
        <w:rPr>
          <w:sz w:val="22"/>
          <w:szCs w:val="22"/>
        </w:rPr>
        <w:t>Strong quantitative data collection and analysis skills;</w:t>
      </w:r>
    </w:p>
    <w:p w14:paraId="38613B36" w14:textId="77777777" w:rsidR="00472DB2" w:rsidRPr="00BB7842" w:rsidRDefault="00472DB2" w:rsidP="00D83888">
      <w:pPr>
        <w:pStyle w:val="ListParagraph"/>
        <w:numPr>
          <w:ilvl w:val="0"/>
          <w:numId w:val="14"/>
        </w:numPr>
        <w:jc w:val="both"/>
        <w:rPr>
          <w:sz w:val="22"/>
          <w:szCs w:val="22"/>
        </w:rPr>
      </w:pPr>
      <w:r w:rsidRPr="00BB7842">
        <w:rPr>
          <w:sz w:val="22"/>
          <w:szCs w:val="22"/>
        </w:rPr>
        <w:t>Ability to do advance statistical analysis and reporting.</w:t>
      </w:r>
    </w:p>
    <w:p w14:paraId="052948EF" w14:textId="77777777" w:rsidR="00472DB2" w:rsidRPr="00BB7842" w:rsidRDefault="00472DB2" w:rsidP="00D83888">
      <w:pPr>
        <w:pStyle w:val="ListParagraph"/>
        <w:numPr>
          <w:ilvl w:val="0"/>
          <w:numId w:val="14"/>
        </w:numPr>
        <w:jc w:val="both"/>
        <w:rPr>
          <w:sz w:val="22"/>
          <w:szCs w:val="22"/>
        </w:rPr>
      </w:pPr>
      <w:r w:rsidRPr="00BB7842">
        <w:rPr>
          <w:sz w:val="22"/>
          <w:szCs w:val="22"/>
        </w:rPr>
        <w:t>Survey team with enough human resources to complete survey on the given deadline.</w:t>
      </w:r>
    </w:p>
    <w:p w14:paraId="1BDFA2C9" w14:textId="624B8F64" w:rsidR="00D83888" w:rsidRPr="00BB7842" w:rsidRDefault="00472DB2" w:rsidP="00D83888">
      <w:pPr>
        <w:pStyle w:val="ListParagraph"/>
        <w:numPr>
          <w:ilvl w:val="0"/>
          <w:numId w:val="14"/>
        </w:numPr>
        <w:jc w:val="both"/>
        <w:rPr>
          <w:sz w:val="22"/>
          <w:szCs w:val="22"/>
        </w:rPr>
      </w:pPr>
      <w:r w:rsidRPr="00BB7842">
        <w:rPr>
          <w:sz w:val="22"/>
          <w:szCs w:val="22"/>
        </w:rPr>
        <w:t xml:space="preserve">A team of experts consisting of at least following key experts – a team leader/nutrition researcher, survey supervisor, </w:t>
      </w:r>
      <w:r w:rsidR="00C615E9">
        <w:rPr>
          <w:sz w:val="22"/>
          <w:szCs w:val="22"/>
        </w:rPr>
        <w:t xml:space="preserve">laboratory coordinator, </w:t>
      </w:r>
      <w:r w:rsidRPr="00BB7842">
        <w:rPr>
          <w:sz w:val="22"/>
          <w:szCs w:val="22"/>
        </w:rPr>
        <w:t xml:space="preserve">enumerators and a data analyst/statistician.  </w:t>
      </w:r>
    </w:p>
    <w:p w14:paraId="6D74C811" w14:textId="77777777" w:rsidR="00D83888" w:rsidRPr="00BB7842" w:rsidRDefault="00D83888" w:rsidP="00D83888">
      <w:pPr>
        <w:pStyle w:val="ListParagraph"/>
        <w:numPr>
          <w:ilvl w:val="0"/>
          <w:numId w:val="14"/>
        </w:numPr>
        <w:rPr>
          <w:sz w:val="22"/>
          <w:szCs w:val="22"/>
        </w:rPr>
      </w:pPr>
      <w:r w:rsidRPr="00BB7842">
        <w:rPr>
          <w:sz w:val="22"/>
          <w:szCs w:val="22"/>
        </w:rPr>
        <w:t xml:space="preserve">Able to work in an international environment and multicultural environment.  </w:t>
      </w:r>
    </w:p>
    <w:p w14:paraId="342C2638" w14:textId="77777777" w:rsidR="00D83888" w:rsidRPr="00BB7842" w:rsidRDefault="00D83888" w:rsidP="00D83888">
      <w:pPr>
        <w:pStyle w:val="ListParagraph"/>
        <w:numPr>
          <w:ilvl w:val="0"/>
          <w:numId w:val="14"/>
        </w:numPr>
        <w:rPr>
          <w:sz w:val="22"/>
          <w:szCs w:val="22"/>
        </w:rPr>
      </w:pPr>
      <w:r w:rsidRPr="00BB7842">
        <w:rPr>
          <w:sz w:val="22"/>
          <w:szCs w:val="22"/>
        </w:rPr>
        <w:t>Knowledge of standard operation procedure in the UNICEF</w:t>
      </w:r>
    </w:p>
    <w:p w14:paraId="1CC2F781" w14:textId="77777777" w:rsidR="00D83888" w:rsidRPr="00BB7842" w:rsidRDefault="00D83888" w:rsidP="00D83888">
      <w:pPr>
        <w:pStyle w:val="ListParagraph"/>
        <w:numPr>
          <w:ilvl w:val="0"/>
          <w:numId w:val="14"/>
        </w:numPr>
        <w:rPr>
          <w:sz w:val="22"/>
          <w:szCs w:val="22"/>
        </w:rPr>
      </w:pPr>
      <w:r w:rsidRPr="00BB7842">
        <w:rPr>
          <w:sz w:val="22"/>
          <w:szCs w:val="22"/>
        </w:rPr>
        <w:t xml:space="preserve">Good analyzing, negotiating, communication and  advocacy skills  </w:t>
      </w:r>
    </w:p>
    <w:p w14:paraId="7E9DDC70" w14:textId="77777777" w:rsidR="00D83888" w:rsidRPr="00BB7842" w:rsidRDefault="00D83888" w:rsidP="00D83888">
      <w:pPr>
        <w:pStyle w:val="ListParagraph"/>
        <w:numPr>
          <w:ilvl w:val="0"/>
          <w:numId w:val="14"/>
        </w:numPr>
        <w:rPr>
          <w:sz w:val="22"/>
          <w:szCs w:val="22"/>
        </w:rPr>
      </w:pPr>
      <w:r w:rsidRPr="00BB7842">
        <w:rPr>
          <w:sz w:val="22"/>
          <w:szCs w:val="22"/>
        </w:rPr>
        <w:t>Good documentation and report writing skills.</w:t>
      </w:r>
    </w:p>
    <w:p w14:paraId="091EA6F5" w14:textId="77777777" w:rsidR="00D83888" w:rsidRDefault="00D83888" w:rsidP="00D83888">
      <w:pPr>
        <w:spacing w:after="0" w:line="240" w:lineRule="auto"/>
        <w:ind w:left="720"/>
        <w:jc w:val="both"/>
        <w:rPr>
          <w:rFonts w:ascii="Times New Roman" w:hAnsi="Times New Roman" w:cs="Times New Roman"/>
          <w:lang w:eastAsia="en-GB"/>
        </w:rPr>
      </w:pPr>
    </w:p>
    <w:p w14:paraId="77F7B8A0" w14:textId="77777777" w:rsidR="00D83888" w:rsidRPr="008601EE" w:rsidRDefault="00D83888" w:rsidP="00D83888">
      <w:pPr>
        <w:spacing w:after="0" w:line="240" w:lineRule="auto"/>
        <w:ind w:left="720"/>
        <w:jc w:val="both"/>
        <w:rPr>
          <w:rFonts w:ascii="Times New Roman" w:hAnsi="Times New Roman" w:cs="Times New Roman"/>
          <w:lang w:eastAsia="en-GB"/>
        </w:rPr>
      </w:pPr>
    </w:p>
    <w:p w14:paraId="7572D818" w14:textId="0B32F95C" w:rsidR="00472DB2" w:rsidRPr="005D0646" w:rsidRDefault="00472DB2" w:rsidP="00F27183">
      <w:pPr>
        <w:pStyle w:val="Heading1"/>
        <w:numPr>
          <w:ilvl w:val="0"/>
          <w:numId w:val="11"/>
        </w:numPr>
        <w:spacing w:after="0"/>
        <w:jc w:val="both"/>
        <w:rPr>
          <w:rFonts w:ascii="Times New Roman" w:hAnsi="Times New Roman"/>
          <w:sz w:val="24"/>
          <w:szCs w:val="24"/>
          <w:u w:val="single"/>
          <w:lang w:val="en-GB"/>
        </w:rPr>
      </w:pPr>
      <w:r w:rsidRPr="00AC539A">
        <w:rPr>
          <w:rFonts w:ascii="Times New Roman" w:hAnsi="Times New Roman"/>
          <w:sz w:val="24"/>
          <w:szCs w:val="24"/>
          <w:u w:val="single"/>
          <w:lang w:val="en-GB"/>
        </w:rPr>
        <w:t xml:space="preserve">TIMING OF SurveY </w:t>
      </w:r>
      <w:r w:rsidR="005D0646" w:rsidRPr="005D0646">
        <w:rPr>
          <w:rFonts w:ascii="Times New Roman" w:hAnsi="Times New Roman"/>
          <w:bCs/>
          <w:kern w:val="32"/>
          <w:sz w:val="22"/>
          <w:szCs w:val="22"/>
          <w:highlight w:val="yellow"/>
        </w:rPr>
        <w:t>(Update based on survey)</w:t>
      </w:r>
    </w:p>
    <w:p w14:paraId="51D9083B" w14:textId="77777777" w:rsidR="00D4210D" w:rsidRPr="00F27183" w:rsidRDefault="00D4210D" w:rsidP="00472DB2">
      <w:pPr>
        <w:pStyle w:val="NormalWeb"/>
        <w:spacing w:before="0" w:beforeAutospacing="0" w:after="0" w:afterAutospacing="0"/>
        <w:jc w:val="both"/>
        <w:rPr>
          <w:sz w:val="22"/>
          <w:szCs w:val="22"/>
        </w:rPr>
      </w:pPr>
    </w:p>
    <w:p w14:paraId="0E1D8E7C" w14:textId="08D5B6BE" w:rsidR="00472DB2" w:rsidRPr="008601EE" w:rsidRDefault="00472DB2" w:rsidP="00472DB2">
      <w:pPr>
        <w:pStyle w:val="NormalWeb"/>
        <w:spacing w:before="0" w:beforeAutospacing="0" w:after="0" w:afterAutospacing="0"/>
        <w:jc w:val="both"/>
        <w:rPr>
          <w:sz w:val="22"/>
          <w:szCs w:val="22"/>
        </w:rPr>
      </w:pPr>
      <w:r w:rsidRPr="008601EE">
        <w:rPr>
          <w:sz w:val="22"/>
          <w:szCs w:val="22"/>
        </w:rPr>
        <w:t>It is expected that the</w:t>
      </w:r>
      <w:r w:rsidR="00BB7842">
        <w:rPr>
          <w:sz w:val="22"/>
          <w:szCs w:val="22"/>
        </w:rPr>
        <w:t xml:space="preserve"> field implementation of the </w:t>
      </w:r>
      <w:r w:rsidRPr="008601EE">
        <w:rPr>
          <w:sz w:val="22"/>
          <w:szCs w:val="22"/>
        </w:rPr>
        <w:t xml:space="preserve">survey will be finished in </w:t>
      </w:r>
      <w:r w:rsidR="00BB7842">
        <w:rPr>
          <w:sz w:val="22"/>
          <w:szCs w:val="22"/>
        </w:rPr>
        <w:t>2</w:t>
      </w:r>
      <w:r w:rsidRPr="008601EE">
        <w:rPr>
          <w:sz w:val="22"/>
          <w:szCs w:val="22"/>
        </w:rPr>
        <w:t xml:space="preserve"> months. </w:t>
      </w:r>
      <w:r w:rsidR="00AC539A">
        <w:rPr>
          <w:sz w:val="22"/>
          <w:szCs w:val="22"/>
        </w:rPr>
        <w:t>More detailed t</w:t>
      </w:r>
      <w:r w:rsidRPr="008601EE">
        <w:rPr>
          <w:sz w:val="22"/>
          <w:szCs w:val="22"/>
        </w:rPr>
        <w:t>imelines for key milestones will be developed once the contract is awarded but an indicative timeline is given below:</w:t>
      </w:r>
    </w:p>
    <w:p w14:paraId="1EEFF6BA" w14:textId="77777777" w:rsidR="00472DB2" w:rsidRPr="008601EE" w:rsidRDefault="00472DB2" w:rsidP="00472DB2">
      <w:pPr>
        <w:pStyle w:val="NormalWeb"/>
        <w:spacing w:before="0" w:beforeAutospacing="0" w:after="0" w:afterAutospacing="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72"/>
        <w:gridCol w:w="572"/>
        <w:gridCol w:w="572"/>
        <w:gridCol w:w="759"/>
        <w:gridCol w:w="558"/>
        <w:gridCol w:w="559"/>
        <w:gridCol w:w="759"/>
        <w:gridCol w:w="768"/>
        <w:gridCol w:w="759"/>
        <w:gridCol w:w="572"/>
        <w:gridCol w:w="587"/>
        <w:gridCol w:w="572"/>
      </w:tblGrid>
      <w:tr w:rsidR="006D5C17" w:rsidRPr="006D5C17" w14:paraId="307075B6" w14:textId="7C1C6D26" w:rsidTr="00C615E9">
        <w:trPr>
          <w:trHeight w:val="224"/>
        </w:trPr>
        <w:tc>
          <w:tcPr>
            <w:tcW w:w="761" w:type="pct"/>
            <w:vMerge w:val="restart"/>
            <w:shd w:val="clear" w:color="auto" w:fill="auto"/>
            <w:vAlign w:val="center"/>
            <w:hideMark/>
          </w:tcPr>
          <w:p w14:paraId="76D90294" w14:textId="77777777" w:rsidR="006D5C17" w:rsidRPr="006D5C17" w:rsidRDefault="006D5C17" w:rsidP="00AA13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Milestones</w:t>
            </w:r>
          </w:p>
        </w:tc>
        <w:tc>
          <w:tcPr>
            <w:tcW w:w="2582" w:type="pct"/>
            <w:gridSpan w:val="7"/>
            <w:shd w:val="clear" w:color="auto" w:fill="auto"/>
            <w:noWrap/>
            <w:vAlign w:val="center"/>
            <w:hideMark/>
          </w:tcPr>
          <w:p w14:paraId="7E44CCC4" w14:textId="14EF7762" w:rsidR="006D5C17" w:rsidRPr="006D5C17" w:rsidRDefault="006D5C17" w:rsidP="00BB784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2015</w:t>
            </w:r>
          </w:p>
        </w:tc>
        <w:tc>
          <w:tcPr>
            <w:tcW w:w="1657" w:type="pct"/>
            <w:gridSpan w:val="5"/>
          </w:tcPr>
          <w:p w14:paraId="79FFD29B" w14:textId="3826A792" w:rsidR="006D5C17" w:rsidRPr="006D5C17" w:rsidRDefault="006D5C17" w:rsidP="00BB784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2016</w:t>
            </w:r>
          </w:p>
        </w:tc>
      </w:tr>
      <w:tr w:rsidR="006D5C17" w:rsidRPr="006D5C17" w14:paraId="14E48820" w14:textId="663F8A21" w:rsidTr="00C615E9">
        <w:trPr>
          <w:trHeight w:val="314"/>
        </w:trPr>
        <w:tc>
          <w:tcPr>
            <w:tcW w:w="761" w:type="pct"/>
            <w:vMerge/>
            <w:vAlign w:val="center"/>
            <w:hideMark/>
          </w:tcPr>
          <w:p w14:paraId="6560A05B" w14:textId="77777777" w:rsidR="006D5C17" w:rsidRPr="006D5C17" w:rsidRDefault="006D5C17" w:rsidP="00AA1312">
            <w:pPr>
              <w:rPr>
                <w:rFonts w:ascii="Times New Roman" w:eastAsia="Times New Roman" w:hAnsi="Times New Roman" w:cs="Times New Roman"/>
                <w:b/>
                <w:bCs/>
                <w:color w:val="000000"/>
                <w:sz w:val="18"/>
                <w:szCs w:val="20"/>
              </w:rPr>
            </w:pPr>
          </w:p>
        </w:tc>
        <w:tc>
          <w:tcPr>
            <w:tcW w:w="309" w:type="pct"/>
            <w:shd w:val="clear" w:color="auto" w:fill="auto"/>
            <w:vAlign w:val="center"/>
          </w:tcPr>
          <w:p w14:paraId="46F4A9B6" w14:textId="2B6410DA" w:rsidR="006D5C17" w:rsidRPr="006D5C17" w:rsidRDefault="006D5C17" w:rsidP="00A30E59">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Feb</w:t>
            </w:r>
          </w:p>
        </w:tc>
        <w:tc>
          <w:tcPr>
            <w:tcW w:w="309" w:type="pct"/>
            <w:shd w:val="clear" w:color="auto" w:fill="auto"/>
            <w:noWrap/>
            <w:vAlign w:val="center"/>
          </w:tcPr>
          <w:p w14:paraId="331F7F1D" w14:textId="78AA42F4" w:rsidR="006D5C17" w:rsidRPr="006D5C17" w:rsidRDefault="006D5C17" w:rsidP="00A30E59">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Mar</w:t>
            </w:r>
          </w:p>
        </w:tc>
        <w:tc>
          <w:tcPr>
            <w:tcW w:w="309" w:type="pct"/>
            <w:shd w:val="clear" w:color="auto" w:fill="auto"/>
            <w:noWrap/>
            <w:vAlign w:val="center"/>
          </w:tcPr>
          <w:p w14:paraId="5A5C46C3" w14:textId="017A0798" w:rsidR="006D5C17" w:rsidRPr="006D5C17" w:rsidRDefault="006D5C17" w:rsidP="00A30E59">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July</w:t>
            </w:r>
          </w:p>
        </w:tc>
        <w:tc>
          <w:tcPr>
            <w:tcW w:w="413" w:type="pct"/>
          </w:tcPr>
          <w:p w14:paraId="21138EC5" w14:textId="77777777" w:rsidR="006D5C17" w:rsidRPr="006D5C17" w:rsidRDefault="006D5C17" w:rsidP="007C1E12">
            <w:pP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 xml:space="preserve"> Sept</w:t>
            </w:r>
          </w:p>
        </w:tc>
        <w:tc>
          <w:tcPr>
            <w:tcW w:w="413" w:type="pct"/>
            <w:shd w:val="clear" w:color="auto" w:fill="auto"/>
            <w:noWrap/>
            <w:vAlign w:val="center"/>
          </w:tcPr>
          <w:p w14:paraId="0658CC93" w14:textId="77777777" w:rsidR="006D5C17" w:rsidRPr="006D5C17" w:rsidRDefault="006D5C17" w:rsidP="00AC539A">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Oct</w:t>
            </w:r>
          </w:p>
        </w:tc>
        <w:tc>
          <w:tcPr>
            <w:tcW w:w="413" w:type="pct"/>
          </w:tcPr>
          <w:p w14:paraId="17ACCEF0" w14:textId="77777777" w:rsidR="006D5C17" w:rsidRPr="006D5C17" w:rsidRDefault="006D5C17" w:rsidP="007C1E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Nov</w:t>
            </w:r>
          </w:p>
        </w:tc>
        <w:tc>
          <w:tcPr>
            <w:tcW w:w="414" w:type="pct"/>
          </w:tcPr>
          <w:p w14:paraId="5B8B951E" w14:textId="77777777" w:rsidR="006D5C17" w:rsidRPr="006D5C17" w:rsidRDefault="006D5C17" w:rsidP="007C1E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Dec</w:t>
            </w:r>
          </w:p>
        </w:tc>
        <w:tc>
          <w:tcPr>
            <w:tcW w:w="419" w:type="pct"/>
          </w:tcPr>
          <w:p w14:paraId="145DAEA2" w14:textId="00D68328" w:rsidR="006D5C17" w:rsidRPr="006D5C17" w:rsidRDefault="006D5C17" w:rsidP="006D5C17">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Jan</w:t>
            </w:r>
          </w:p>
        </w:tc>
        <w:tc>
          <w:tcPr>
            <w:tcW w:w="301" w:type="pct"/>
          </w:tcPr>
          <w:p w14:paraId="3062F948" w14:textId="60F49BF2" w:rsidR="006D5C17" w:rsidRPr="006D5C17" w:rsidRDefault="006D5C17" w:rsidP="006D5C17">
            <w:pP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Mar</w:t>
            </w:r>
          </w:p>
        </w:tc>
        <w:tc>
          <w:tcPr>
            <w:tcW w:w="310" w:type="pct"/>
          </w:tcPr>
          <w:p w14:paraId="7973AA1C" w14:textId="423270B5" w:rsidR="006D5C17" w:rsidRPr="006D5C17" w:rsidRDefault="006D5C17" w:rsidP="007C1E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May</w:t>
            </w:r>
          </w:p>
        </w:tc>
        <w:tc>
          <w:tcPr>
            <w:tcW w:w="318" w:type="pct"/>
          </w:tcPr>
          <w:p w14:paraId="2EA2FDB7" w14:textId="6A84F43D" w:rsidR="006D5C17" w:rsidRPr="006D5C17" w:rsidRDefault="006D5C17" w:rsidP="007C1E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June</w:t>
            </w:r>
          </w:p>
        </w:tc>
        <w:tc>
          <w:tcPr>
            <w:tcW w:w="309" w:type="pct"/>
          </w:tcPr>
          <w:p w14:paraId="3DEC1445" w14:textId="29CE7642" w:rsidR="006D5C17" w:rsidRPr="006D5C17" w:rsidRDefault="006D5C17" w:rsidP="007C1E12">
            <w:pPr>
              <w:jc w:val="center"/>
              <w:rPr>
                <w:rFonts w:ascii="Times New Roman" w:eastAsia="Times New Roman" w:hAnsi="Times New Roman" w:cs="Times New Roman"/>
                <w:b/>
                <w:bCs/>
                <w:color w:val="000000"/>
                <w:sz w:val="18"/>
                <w:szCs w:val="20"/>
              </w:rPr>
            </w:pPr>
            <w:r w:rsidRPr="006D5C17">
              <w:rPr>
                <w:rFonts w:ascii="Times New Roman" w:eastAsia="Times New Roman" w:hAnsi="Times New Roman" w:cs="Times New Roman"/>
                <w:b/>
                <w:bCs/>
                <w:color w:val="000000"/>
                <w:sz w:val="18"/>
                <w:szCs w:val="20"/>
              </w:rPr>
              <w:t>July</w:t>
            </w:r>
          </w:p>
        </w:tc>
      </w:tr>
      <w:tr w:rsidR="006D5C17" w:rsidRPr="006D5C17" w14:paraId="0CAE593F" w14:textId="24D27D26" w:rsidTr="00C615E9">
        <w:trPr>
          <w:trHeight w:val="692"/>
        </w:trPr>
        <w:tc>
          <w:tcPr>
            <w:tcW w:w="761" w:type="pct"/>
            <w:shd w:val="clear" w:color="auto" w:fill="auto"/>
            <w:vAlign w:val="center"/>
            <w:hideMark/>
          </w:tcPr>
          <w:p w14:paraId="1E470081" w14:textId="18F90285" w:rsidR="006D5C17" w:rsidRPr="006D5C17" w:rsidRDefault="006D5C17" w:rsidP="00AA1312">
            <w:pPr>
              <w:pStyle w:val="NormalWeb"/>
              <w:spacing w:before="0" w:beforeAutospacing="0" w:after="0" w:afterAutospacing="0"/>
              <w:rPr>
                <w:sz w:val="18"/>
                <w:szCs w:val="22"/>
              </w:rPr>
            </w:pPr>
            <w:r w:rsidRPr="006D5C17">
              <w:rPr>
                <w:sz w:val="18"/>
                <w:szCs w:val="22"/>
              </w:rPr>
              <w:t>Selection of national survey organization and train enumerator</w:t>
            </w:r>
          </w:p>
        </w:tc>
        <w:tc>
          <w:tcPr>
            <w:tcW w:w="309" w:type="pct"/>
            <w:shd w:val="clear" w:color="auto" w:fill="auto"/>
            <w:noWrap/>
            <w:vAlign w:val="center"/>
            <w:hideMark/>
          </w:tcPr>
          <w:p w14:paraId="24EB1647" w14:textId="77777777" w:rsidR="006D5C17" w:rsidRPr="006D5C17" w:rsidRDefault="006D5C17" w:rsidP="00AA1312">
            <w:pPr>
              <w:pStyle w:val="NormalWeb"/>
              <w:spacing w:before="0" w:beforeAutospacing="0" w:after="0" w:afterAutospacing="0"/>
              <w:rPr>
                <w:sz w:val="16"/>
                <w:szCs w:val="20"/>
              </w:rPr>
            </w:pPr>
            <w:r w:rsidRPr="006D5C17">
              <w:rPr>
                <w:sz w:val="16"/>
                <w:szCs w:val="20"/>
              </w:rPr>
              <w:t>KTM</w:t>
            </w:r>
          </w:p>
        </w:tc>
        <w:tc>
          <w:tcPr>
            <w:tcW w:w="309" w:type="pct"/>
            <w:shd w:val="clear" w:color="auto" w:fill="auto"/>
            <w:noWrap/>
            <w:vAlign w:val="center"/>
            <w:hideMark/>
          </w:tcPr>
          <w:p w14:paraId="69C26B38" w14:textId="77777777" w:rsidR="006D5C17" w:rsidRPr="006D5C17" w:rsidRDefault="006D5C17" w:rsidP="00AA1312">
            <w:pPr>
              <w:pStyle w:val="NormalWeb"/>
              <w:spacing w:before="0" w:beforeAutospacing="0" w:after="0" w:afterAutospacing="0"/>
              <w:rPr>
                <w:sz w:val="16"/>
                <w:szCs w:val="20"/>
              </w:rPr>
            </w:pPr>
            <w:r w:rsidRPr="006D5C17">
              <w:rPr>
                <w:sz w:val="16"/>
                <w:szCs w:val="20"/>
              </w:rPr>
              <w:t> </w:t>
            </w:r>
          </w:p>
        </w:tc>
        <w:tc>
          <w:tcPr>
            <w:tcW w:w="309" w:type="pct"/>
            <w:shd w:val="clear" w:color="auto" w:fill="auto"/>
            <w:noWrap/>
            <w:vAlign w:val="center"/>
            <w:hideMark/>
          </w:tcPr>
          <w:p w14:paraId="629843D8" w14:textId="77777777" w:rsidR="006D5C17" w:rsidRPr="006D5C17" w:rsidRDefault="006D5C17" w:rsidP="00AA1312">
            <w:pPr>
              <w:pStyle w:val="NormalWeb"/>
              <w:spacing w:before="0" w:beforeAutospacing="0" w:after="0" w:afterAutospacing="0"/>
              <w:rPr>
                <w:sz w:val="16"/>
                <w:szCs w:val="20"/>
              </w:rPr>
            </w:pPr>
            <w:r w:rsidRPr="006D5C17">
              <w:rPr>
                <w:sz w:val="16"/>
                <w:szCs w:val="20"/>
              </w:rPr>
              <w:t> </w:t>
            </w:r>
          </w:p>
        </w:tc>
        <w:tc>
          <w:tcPr>
            <w:tcW w:w="413" w:type="pct"/>
          </w:tcPr>
          <w:p w14:paraId="066FA305" w14:textId="77777777" w:rsidR="006D5C17" w:rsidRPr="006D5C17" w:rsidRDefault="006D5C17" w:rsidP="00AA1312">
            <w:pPr>
              <w:pStyle w:val="NormalWeb"/>
              <w:spacing w:before="0" w:beforeAutospacing="0" w:after="0" w:afterAutospacing="0"/>
              <w:rPr>
                <w:sz w:val="16"/>
                <w:szCs w:val="20"/>
              </w:rPr>
            </w:pPr>
          </w:p>
        </w:tc>
        <w:tc>
          <w:tcPr>
            <w:tcW w:w="413" w:type="pct"/>
            <w:shd w:val="clear" w:color="auto" w:fill="auto"/>
            <w:noWrap/>
            <w:vAlign w:val="center"/>
            <w:hideMark/>
          </w:tcPr>
          <w:p w14:paraId="03CD995D" w14:textId="77777777" w:rsidR="006D5C17" w:rsidRPr="006D5C17" w:rsidRDefault="006D5C17" w:rsidP="00AA1312">
            <w:pPr>
              <w:pStyle w:val="NormalWeb"/>
              <w:spacing w:before="0" w:beforeAutospacing="0" w:after="0" w:afterAutospacing="0"/>
              <w:rPr>
                <w:sz w:val="16"/>
                <w:szCs w:val="20"/>
              </w:rPr>
            </w:pPr>
            <w:r w:rsidRPr="006D5C17">
              <w:rPr>
                <w:sz w:val="16"/>
                <w:szCs w:val="20"/>
              </w:rPr>
              <w:t> </w:t>
            </w:r>
          </w:p>
        </w:tc>
        <w:tc>
          <w:tcPr>
            <w:tcW w:w="413" w:type="pct"/>
          </w:tcPr>
          <w:p w14:paraId="01812E26" w14:textId="77777777" w:rsidR="006D5C17" w:rsidRPr="006D5C17" w:rsidRDefault="006D5C17" w:rsidP="00AA1312">
            <w:pPr>
              <w:pStyle w:val="NormalWeb"/>
              <w:spacing w:before="0" w:beforeAutospacing="0" w:after="0" w:afterAutospacing="0"/>
              <w:rPr>
                <w:sz w:val="16"/>
                <w:szCs w:val="20"/>
              </w:rPr>
            </w:pPr>
          </w:p>
        </w:tc>
        <w:tc>
          <w:tcPr>
            <w:tcW w:w="414" w:type="pct"/>
          </w:tcPr>
          <w:p w14:paraId="53D42578" w14:textId="77777777" w:rsidR="006D5C17" w:rsidRPr="006D5C17" w:rsidRDefault="006D5C17" w:rsidP="00AA1312">
            <w:pPr>
              <w:pStyle w:val="NormalWeb"/>
              <w:spacing w:before="0" w:beforeAutospacing="0" w:after="0" w:afterAutospacing="0"/>
              <w:rPr>
                <w:sz w:val="16"/>
                <w:szCs w:val="20"/>
              </w:rPr>
            </w:pPr>
          </w:p>
        </w:tc>
        <w:tc>
          <w:tcPr>
            <w:tcW w:w="419" w:type="pct"/>
          </w:tcPr>
          <w:p w14:paraId="71DAE7D1" w14:textId="77777777" w:rsidR="006D5C17" w:rsidRPr="006D5C17" w:rsidRDefault="006D5C17" w:rsidP="00AA1312">
            <w:pPr>
              <w:pStyle w:val="NormalWeb"/>
              <w:spacing w:before="0" w:beforeAutospacing="0" w:after="0" w:afterAutospacing="0"/>
              <w:rPr>
                <w:sz w:val="16"/>
                <w:szCs w:val="20"/>
              </w:rPr>
            </w:pPr>
          </w:p>
        </w:tc>
        <w:tc>
          <w:tcPr>
            <w:tcW w:w="301" w:type="pct"/>
          </w:tcPr>
          <w:p w14:paraId="486F43DF" w14:textId="77777777" w:rsidR="006D5C17" w:rsidRPr="006D5C17" w:rsidRDefault="006D5C17" w:rsidP="00AA1312">
            <w:pPr>
              <w:pStyle w:val="NormalWeb"/>
              <w:spacing w:before="0" w:beforeAutospacing="0" w:after="0" w:afterAutospacing="0"/>
              <w:rPr>
                <w:sz w:val="16"/>
                <w:szCs w:val="20"/>
              </w:rPr>
            </w:pPr>
          </w:p>
        </w:tc>
        <w:tc>
          <w:tcPr>
            <w:tcW w:w="310" w:type="pct"/>
          </w:tcPr>
          <w:p w14:paraId="14B6F196" w14:textId="77777777" w:rsidR="006D5C17" w:rsidRPr="006D5C17" w:rsidRDefault="006D5C17" w:rsidP="00AA1312">
            <w:pPr>
              <w:pStyle w:val="NormalWeb"/>
              <w:spacing w:before="0" w:beforeAutospacing="0" w:after="0" w:afterAutospacing="0"/>
              <w:rPr>
                <w:sz w:val="16"/>
                <w:szCs w:val="20"/>
              </w:rPr>
            </w:pPr>
          </w:p>
        </w:tc>
        <w:tc>
          <w:tcPr>
            <w:tcW w:w="318" w:type="pct"/>
          </w:tcPr>
          <w:p w14:paraId="3A17EBBA" w14:textId="77777777" w:rsidR="006D5C17" w:rsidRPr="006D5C17" w:rsidRDefault="006D5C17" w:rsidP="00AA1312">
            <w:pPr>
              <w:pStyle w:val="NormalWeb"/>
              <w:spacing w:before="0" w:beforeAutospacing="0" w:after="0" w:afterAutospacing="0"/>
              <w:rPr>
                <w:sz w:val="16"/>
                <w:szCs w:val="20"/>
              </w:rPr>
            </w:pPr>
          </w:p>
        </w:tc>
        <w:tc>
          <w:tcPr>
            <w:tcW w:w="309" w:type="pct"/>
          </w:tcPr>
          <w:p w14:paraId="42BB1F01" w14:textId="77777777" w:rsidR="006D5C17" w:rsidRPr="006D5C17" w:rsidRDefault="006D5C17" w:rsidP="00AA1312">
            <w:pPr>
              <w:pStyle w:val="NormalWeb"/>
              <w:spacing w:before="0" w:beforeAutospacing="0" w:after="0" w:afterAutospacing="0"/>
              <w:rPr>
                <w:sz w:val="16"/>
                <w:szCs w:val="20"/>
              </w:rPr>
            </w:pPr>
          </w:p>
        </w:tc>
      </w:tr>
      <w:tr w:rsidR="006D5C17" w:rsidRPr="006D5C17" w14:paraId="28AD2210" w14:textId="1FA13A70" w:rsidTr="00C615E9">
        <w:trPr>
          <w:trHeight w:val="458"/>
        </w:trPr>
        <w:tc>
          <w:tcPr>
            <w:tcW w:w="761" w:type="pct"/>
            <w:shd w:val="clear" w:color="auto" w:fill="auto"/>
            <w:vAlign w:val="center"/>
          </w:tcPr>
          <w:p w14:paraId="17A26D01" w14:textId="21D0E099" w:rsidR="006D5C17" w:rsidRPr="006D5C17" w:rsidRDefault="006D5C17" w:rsidP="00AA1312">
            <w:pPr>
              <w:pStyle w:val="NormalWeb"/>
              <w:spacing w:before="0" w:beforeAutospacing="0" w:after="0" w:afterAutospacing="0"/>
              <w:rPr>
                <w:sz w:val="18"/>
                <w:szCs w:val="22"/>
              </w:rPr>
            </w:pPr>
            <w:r w:rsidRPr="006D5C17">
              <w:rPr>
                <w:sz w:val="18"/>
                <w:szCs w:val="22"/>
              </w:rPr>
              <w:t>operational and logistical plan, questionnaires, supervisors’ and fieldworkers’ guidelines and training materials are completed</w:t>
            </w:r>
          </w:p>
        </w:tc>
        <w:tc>
          <w:tcPr>
            <w:tcW w:w="309" w:type="pct"/>
            <w:shd w:val="clear" w:color="auto" w:fill="auto"/>
            <w:noWrap/>
            <w:vAlign w:val="center"/>
          </w:tcPr>
          <w:p w14:paraId="4D3C6BCC" w14:textId="77777777" w:rsidR="006D5C17" w:rsidRPr="006D5C17" w:rsidRDefault="006D5C17" w:rsidP="00AA1312">
            <w:pPr>
              <w:pStyle w:val="NormalWeb"/>
              <w:spacing w:before="0" w:beforeAutospacing="0" w:after="0" w:afterAutospacing="0"/>
              <w:rPr>
                <w:sz w:val="16"/>
                <w:szCs w:val="20"/>
              </w:rPr>
            </w:pPr>
          </w:p>
        </w:tc>
        <w:tc>
          <w:tcPr>
            <w:tcW w:w="309" w:type="pct"/>
            <w:shd w:val="clear" w:color="auto" w:fill="auto"/>
            <w:noWrap/>
            <w:vAlign w:val="center"/>
          </w:tcPr>
          <w:p w14:paraId="22003FF0" w14:textId="77777777" w:rsidR="006D5C17" w:rsidRPr="006D5C17" w:rsidRDefault="006D5C17" w:rsidP="00AA1312">
            <w:pPr>
              <w:pStyle w:val="NormalWeb"/>
              <w:spacing w:before="0" w:beforeAutospacing="0" w:after="0" w:afterAutospacing="0"/>
              <w:rPr>
                <w:sz w:val="16"/>
                <w:szCs w:val="20"/>
              </w:rPr>
            </w:pPr>
            <w:r w:rsidRPr="006D5C17">
              <w:rPr>
                <w:sz w:val="16"/>
                <w:szCs w:val="20"/>
              </w:rPr>
              <w:t>KTM</w:t>
            </w:r>
          </w:p>
        </w:tc>
        <w:tc>
          <w:tcPr>
            <w:tcW w:w="309" w:type="pct"/>
            <w:shd w:val="clear" w:color="auto" w:fill="auto"/>
            <w:noWrap/>
            <w:vAlign w:val="center"/>
          </w:tcPr>
          <w:p w14:paraId="7EA190F5" w14:textId="77777777" w:rsidR="006D5C17" w:rsidRPr="006D5C17" w:rsidRDefault="006D5C17" w:rsidP="00AA1312">
            <w:pPr>
              <w:pStyle w:val="NormalWeb"/>
              <w:spacing w:before="0" w:beforeAutospacing="0" w:after="0" w:afterAutospacing="0"/>
              <w:rPr>
                <w:sz w:val="16"/>
                <w:szCs w:val="20"/>
              </w:rPr>
            </w:pPr>
          </w:p>
        </w:tc>
        <w:tc>
          <w:tcPr>
            <w:tcW w:w="413" w:type="pct"/>
          </w:tcPr>
          <w:p w14:paraId="1742FEBE" w14:textId="77777777" w:rsidR="006D5C17" w:rsidRPr="006D5C17" w:rsidRDefault="006D5C17" w:rsidP="00AA1312">
            <w:pPr>
              <w:pStyle w:val="NormalWeb"/>
              <w:spacing w:before="0" w:beforeAutospacing="0" w:after="0" w:afterAutospacing="0"/>
              <w:rPr>
                <w:sz w:val="16"/>
                <w:szCs w:val="20"/>
              </w:rPr>
            </w:pPr>
          </w:p>
        </w:tc>
        <w:tc>
          <w:tcPr>
            <w:tcW w:w="413" w:type="pct"/>
            <w:shd w:val="clear" w:color="auto" w:fill="auto"/>
            <w:noWrap/>
            <w:vAlign w:val="center"/>
          </w:tcPr>
          <w:p w14:paraId="00337CB2" w14:textId="77777777" w:rsidR="006D5C17" w:rsidRPr="006D5C17" w:rsidRDefault="006D5C17" w:rsidP="00AA1312">
            <w:pPr>
              <w:pStyle w:val="NormalWeb"/>
              <w:spacing w:before="0" w:beforeAutospacing="0" w:after="0" w:afterAutospacing="0"/>
              <w:rPr>
                <w:sz w:val="16"/>
                <w:szCs w:val="20"/>
              </w:rPr>
            </w:pPr>
          </w:p>
        </w:tc>
        <w:tc>
          <w:tcPr>
            <w:tcW w:w="413" w:type="pct"/>
          </w:tcPr>
          <w:p w14:paraId="52435895" w14:textId="77777777" w:rsidR="006D5C17" w:rsidRPr="006D5C17" w:rsidRDefault="006D5C17" w:rsidP="00AA1312">
            <w:pPr>
              <w:pStyle w:val="NormalWeb"/>
              <w:spacing w:before="0" w:beforeAutospacing="0" w:after="0" w:afterAutospacing="0"/>
              <w:rPr>
                <w:sz w:val="16"/>
                <w:szCs w:val="20"/>
              </w:rPr>
            </w:pPr>
          </w:p>
        </w:tc>
        <w:tc>
          <w:tcPr>
            <w:tcW w:w="414" w:type="pct"/>
          </w:tcPr>
          <w:p w14:paraId="7CAA3481" w14:textId="77777777" w:rsidR="006D5C17" w:rsidRPr="006D5C17" w:rsidRDefault="006D5C17" w:rsidP="00AA1312">
            <w:pPr>
              <w:pStyle w:val="NormalWeb"/>
              <w:spacing w:before="0" w:beforeAutospacing="0" w:after="0" w:afterAutospacing="0"/>
              <w:rPr>
                <w:sz w:val="16"/>
                <w:szCs w:val="20"/>
              </w:rPr>
            </w:pPr>
          </w:p>
        </w:tc>
        <w:tc>
          <w:tcPr>
            <w:tcW w:w="419" w:type="pct"/>
          </w:tcPr>
          <w:p w14:paraId="67ADF926" w14:textId="77777777" w:rsidR="006D5C17" w:rsidRPr="006D5C17" w:rsidRDefault="006D5C17" w:rsidP="00AA1312">
            <w:pPr>
              <w:pStyle w:val="NormalWeb"/>
              <w:spacing w:before="0" w:beforeAutospacing="0" w:after="0" w:afterAutospacing="0"/>
              <w:rPr>
                <w:sz w:val="16"/>
                <w:szCs w:val="20"/>
              </w:rPr>
            </w:pPr>
          </w:p>
        </w:tc>
        <w:tc>
          <w:tcPr>
            <w:tcW w:w="301" w:type="pct"/>
          </w:tcPr>
          <w:p w14:paraId="5CF1C8D2" w14:textId="77777777" w:rsidR="006D5C17" w:rsidRPr="006D5C17" w:rsidRDefault="006D5C17" w:rsidP="00AA1312">
            <w:pPr>
              <w:pStyle w:val="NormalWeb"/>
              <w:spacing w:before="0" w:beforeAutospacing="0" w:after="0" w:afterAutospacing="0"/>
              <w:rPr>
                <w:sz w:val="16"/>
                <w:szCs w:val="20"/>
              </w:rPr>
            </w:pPr>
          </w:p>
        </w:tc>
        <w:tc>
          <w:tcPr>
            <w:tcW w:w="310" w:type="pct"/>
          </w:tcPr>
          <w:p w14:paraId="54C41068" w14:textId="77777777" w:rsidR="006D5C17" w:rsidRPr="006D5C17" w:rsidRDefault="006D5C17" w:rsidP="00AA1312">
            <w:pPr>
              <w:pStyle w:val="NormalWeb"/>
              <w:spacing w:before="0" w:beforeAutospacing="0" w:after="0" w:afterAutospacing="0"/>
              <w:rPr>
                <w:sz w:val="16"/>
                <w:szCs w:val="20"/>
              </w:rPr>
            </w:pPr>
          </w:p>
        </w:tc>
        <w:tc>
          <w:tcPr>
            <w:tcW w:w="318" w:type="pct"/>
          </w:tcPr>
          <w:p w14:paraId="074BA2B3" w14:textId="77777777" w:rsidR="006D5C17" w:rsidRPr="006D5C17" w:rsidRDefault="006D5C17" w:rsidP="00AA1312">
            <w:pPr>
              <w:pStyle w:val="NormalWeb"/>
              <w:spacing w:before="0" w:beforeAutospacing="0" w:after="0" w:afterAutospacing="0"/>
              <w:rPr>
                <w:sz w:val="16"/>
                <w:szCs w:val="20"/>
              </w:rPr>
            </w:pPr>
          </w:p>
        </w:tc>
        <w:tc>
          <w:tcPr>
            <w:tcW w:w="309" w:type="pct"/>
          </w:tcPr>
          <w:p w14:paraId="7BAD4F7E" w14:textId="77777777" w:rsidR="006D5C17" w:rsidRPr="006D5C17" w:rsidRDefault="006D5C17" w:rsidP="00AA1312">
            <w:pPr>
              <w:pStyle w:val="NormalWeb"/>
              <w:spacing w:before="0" w:beforeAutospacing="0" w:after="0" w:afterAutospacing="0"/>
              <w:rPr>
                <w:sz w:val="16"/>
                <w:szCs w:val="20"/>
              </w:rPr>
            </w:pPr>
          </w:p>
        </w:tc>
      </w:tr>
      <w:tr w:rsidR="006D5C17" w:rsidRPr="006D5C17" w14:paraId="6D7CF3E5" w14:textId="42CF83E4" w:rsidTr="00C615E9">
        <w:trPr>
          <w:trHeight w:val="70"/>
        </w:trPr>
        <w:tc>
          <w:tcPr>
            <w:tcW w:w="761" w:type="pct"/>
            <w:shd w:val="clear" w:color="auto" w:fill="auto"/>
            <w:vAlign w:val="center"/>
          </w:tcPr>
          <w:p w14:paraId="15009A8E" w14:textId="77777777" w:rsidR="006D5C17" w:rsidRPr="006D5C17" w:rsidRDefault="006D5C17" w:rsidP="008601EE">
            <w:pPr>
              <w:pStyle w:val="NormalWeb"/>
              <w:spacing w:before="0" w:beforeAutospacing="0" w:after="0" w:afterAutospacing="0"/>
              <w:rPr>
                <w:sz w:val="18"/>
                <w:szCs w:val="22"/>
              </w:rPr>
            </w:pPr>
            <w:r w:rsidRPr="006D5C17">
              <w:rPr>
                <w:sz w:val="18"/>
                <w:szCs w:val="22"/>
              </w:rPr>
              <w:t xml:space="preserve">Train supervisors and enumerators for the survey </w:t>
            </w:r>
          </w:p>
        </w:tc>
        <w:tc>
          <w:tcPr>
            <w:tcW w:w="309" w:type="pct"/>
            <w:shd w:val="clear" w:color="auto" w:fill="auto"/>
            <w:vAlign w:val="center"/>
          </w:tcPr>
          <w:p w14:paraId="5335EBC9" w14:textId="77777777" w:rsidR="006D5C17" w:rsidRPr="006D5C17" w:rsidRDefault="006D5C17" w:rsidP="00AA1312">
            <w:pPr>
              <w:pStyle w:val="NormalWeb"/>
              <w:spacing w:before="0" w:beforeAutospacing="0" w:after="0" w:afterAutospacing="0"/>
              <w:rPr>
                <w:sz w:val="16"/>
                <w:szCs w:val="20"/>
              </w:rPr>
            </w:pPr>
          </w:p>
        </w:tc>
        <w:tc>
          <w:tcPr>
            <w:tcW w:w="309" w:type="pct"/>
            <w:shd w:val="clear" w:color="auto" w:fill="auto"/>
            <w:noWrap/>
            <w:vAlign w:val="center"/>
          </w:tcPr>
          <w:p w14:paraId="56A372AF" w14:textId="3F28E1D9" w:rsidR="006D5C17" w:rsidRPr="006D5C17" w:rsidRDefault="006D5C17" w:rsidP="00AA1312">
            <w:pPr>
              <w:pStyle w:val="NormalWeb"/>
              <w:spacing w:before="0" w:beforeAutospacing="0" w:after="0" w:afterAutospacing="0"/>
              <w:rPr>
                <w:sz w:val="16"/>
                <w:szCs w:val="20"/>
              </w:rPr>
            </w:pPr>
          </w:p>
        </w:tc>
        <w:tc>
          <w:tcPr>
            <w:tcW w:w="309" w:type="pct"/>
            <w:shd w:val="clear" w:color="auto" w:fill="auto"/>
            <w:noWrap/>
            <w:vAlign w:val="center"/>
          </w:tcPr>
          <w:p w14:paraId="5773764B" w14:textId="1E6D171A" w:rsidR="006D5C17" w:rsidRPr="006D5C17" w:rsidRDefault="006D5C17" w:rsidP="00AA1312">
            <w:pPr>
              <w:pStyle w:val="NormalWeb"/>
              <w:spacing w:before="0" w:beforeAutospacing="0" w:after="0" w:afterAutospacing="0"/>
              <w:rPr>
                <w:sz w:val="16"/>
                <w:szCs w:val="20"/>
              </w:rPr>
            </w:pPr>
            <w:r w:rsidRPr="006D5C17">
              <w:rPr>
                <w:sz w:val="16"/>
                <w:szCs w:val="20"/>
              </w:rPr>
              <w:t>KTM</w:t>
            </w:r>
          </w:p>
        </w:tc>
        <w:tc>
          <w:tcPr>
            <w:tcW w:w="413" w:type="pct"/>
          </w:tcPr>
          <w:p w14:paraId="038E0978" w14:textId="77777777" w:rsidR="006D5C17" w:rsidRPr="006D5C17" w:rsidRDefault="006D5C17" w:rsidP="00AA1312">
            <w:pPr>
              <w:pStyle w:val="NormalWeb"/>
              <w:spacing w:before="0" w:beforeAutospacing="0" w:after="0" w:afterAutospacing="0"/>
              <w:rPr>
                <w:sz w:val="16"/>
                <w:szCs w:val="20"/>
              </w:rPr>
            </w:pPr>
          </w:p>
        </w:tc>
        <w:tc>
          <w:tcPr>
            <w:tcW w:w="413" w:type="pct"/>
            <w:shd w:val="clear" w:color="auto" w:fill="auto"/>
            <w:noWrap/>
            <w:vAlign w:val="center"/>
          </w:tcPr>
          <w:p w14:paraId="7B0DFB7C" w14:textId="77777777" w:rsidR="006D5C17" w:rsidRPr="006D5C17" w:rsidRDefault="006D5C17" w:rsidP="00AA1312">
            <w:pPr>
              <w:pStyle w:val="NormalWeb"/>
              <w:spacing w:before="0" w:beforeAutospacing="0" w:after="0" w:afterAutospacing="0"/>
              <w:rPr>
                <w:sz w:val="16"/>
                <w:szCs w:val="20"/>
              </w:rPr>
            </w:pPr>
          </w:p>
        </w:tc>
        <w:tc>
          <w:tcPr>
            <w:tcW w:w="413" w:type="pct"/>
          </w:tcPr>
          <w:p w14:paraId="6275BB68" w14:textId="77777777" w:rsidR="006D5C17" w:rsidRPr="006D5C17" w:rsidRDefault="006D5C17" w:rsidP="00AA1312">
            <w:pPr>
              <w:pStyle w:val="NormalWeb"/>
              <w:spacing w:before="0" w:beforeAutospacing="0" w:after="0" w:afterAutospacing="0"/>
              <w:rPr>
                <w:sz w:val="16"/>
                <w:szCs w:val="20"/>
              </w:rPr>
            </w:pPr>
          </w:p>
        </w:tc>
        <w:tc>
          <w:tcPr>
            <w:tcW w:w="414" w:type="pct"/>
          </w:tcPr>
          <w:p w14:paraId="59A36C42" w14:textId="77777777" w:rsidR="006D5C17" w:rsidRPr="006D5C17" w:rsidRDefault="006D5C17" w:rsidP="00AA1312">
            <w:pPr>
              <w:pStyle w:val="NormalWeb"/>
              <w:spacing w:before="0" w:beforeAutospacing="0" w:after="0" w:afterAutospacing="0"/>
              <w:rPr>
                <w:sz w:val="16"/>
                <w:szCs w:val="20"/>
              </w:rPr>
            </w:pPr>
          </w:p>
        </w:tc>
        <w:tc>
          <w:tcPr>
            <w:tcW w:w="419" w:type="pct"/>
          </w:tcPr>
          <w:p w14:paraId="53BA6B8A" w14:textId="77777777" w:rsidR="006D5C17" w:rsidRPr="006D5C17" w:rsidRDefault="006D5C17" w:rsidP="00AA1312">
            <w:pPr>
              <w:pStyle w:val="NormalWeb"/>
              <w:spacing w:before="0" w:beforeAutospacing="0" w:after="0" w:afterAutospacing="0"/>
              <w:rPr>
                <w:sz w:val="16"/>
                <w:szCs w:val="20"/>
              </w:rPr>
            </w:pPr>
          </w:p>
        </w:tc>
        <w:tc>
          <w:tcPr>
            <w:tcW w:w="301" w:type="pct"/>
          </w:tcPr>
          <w:p w14:paraId="40235DAE" w14:textId="77777777" w:rsidR="006D5C17" w:rsidRPr="006D5C17" w:rsidRDefault="006D5C17" w:rsidP="00AA1312">
            <w:pPr>
              <w:pStyle w:val="NormalWeb"/>
              <w:spacing w:before="0" w:beforeAutospacing="0" w:after="0" w:afterAutospacing="0"/>
              <w:rPr>
                <w:sz w:val="16"/>
                <w:szCs w:val="20"/>
              </w:rPr>
            </w:pPr>
          </w:p>
        </w:tc>
        <w:tc>
          <w:tcPr>
            <w:tcW w:w="310" w:type="pct"/>
          </w:tcPr>
          <w:p w14:paraId="6E2BC078" w14:textId="77777777" w:rsidR="006D5C17" w:rsidRPr="006D5C17" w:rsidRDefault="006D5C17" w:rsidP="00AA1312">
            <w:pPr>
              <w:pStyle w:val="NormalWeb"/>
              <w:spacing w:before="0" w:beforeAutospacing="0" w:after="0" w:afterAutospacing="0"/>
              <w:rPr>
                <w:sz w:val="16"/>
                <w:szCs w:val="20"/>
              </w:rPr>
            </w:pPr>
          </w:p>
        </w:tc>
        <w:tc>
          <w:tcPr>
            <w:tcW w:w="318" w:type="pct"/>
          </w:tcPr>
          <w:p w14:paraId="2E03AA0E" w14:textId="77777777" w:rsidR="006D5C17" w:rsidRPr="006D5C17" w:rsidRDefault="006D5C17" w:rsidP="00AA1312">
            <w:pPr>
              <w:pStyle w:val="NormalWeb"/>
              <w:spacing w:before="0" w:beforeAutospacing="0" w:after="0" w:afterAutospacing="0"/>
              <w:rPr>
                <w:sz w:val="16"/>
                <w:szCs w:val="20"/>
              </w:rPr>
            </w:pPr>
          </w:p>
        </w:tc>
        <w:tc>
          <w:tcPr>
            <w:tcW w:w="309" w:type="pct"/>
          </w:tcPr>
          <w:p w14:paraId="5D9FA7F6" w14:textId="77777777" w:rsidR="006D5C17" w:rsidRPr="006D5C17" w:rsidRDefault="006D5C17" w:rsidP="00AA1312">
            <w:pPr>
              <w:pStyle w:val="NormalWeb"/>
              <w:spacing w:before="0" w:beforeAutospacing="0" w:after="0" w:afterAutospacing="0"/>
              <w:rPr>
                <w:sz w:val="16"/>
                <w:szCs w:val="20"/>
              </w:rPr>
            </w:pPr>
          </w:p>
        </w:tc>
      </w:tr>
      <w:tr w:rsidR="006D5C17" w:rsidRPr="006D5C17" w14:paraId="13EADC99" w14:textId="50FB7024" w:rsidTr="00C615E9">
        <w:trPr>
          <w:trHeight w:val="70"/>
        </w:trPr>
        <w:tc>
          <w:tcPr>
            <w:tcW w:w="761" w:type="pct"/>
            <w:shd w:val="clear" w:color="auto" w:fill="auto"/>
            <w:vAlign w:val="center"/>
          </w:tcPr>
          <w:p w14:paraId="6DA582D0" w14:textId="77777777" w:rsidR="006D5C17" w:rsidRPr="006D5C17" w:rsidRDefault="006D5C17" w:rsidP="008601EE">
            <w:pPr>
              <w:pStyle w:val="NormalWeb"/>
              <w:spacing w:before="0" w:beforeAutospacing="0" w:after="0" w:afterAutospacing="0"/>
              <w:rPr>
                <w:sz w:val="18"/>
                <w:szCs w:val="22"/>
              </w:rPr>
            </w:pPr>
            <w:r w:rsidRPr="006D5C17">
              <w:rPr>
                <w:sz w:val="18"/>
                <w:szCs w:val="22"/>
              </w:rPr>
              <w:lastRenderedPageBreak/>
              <w:t>Pre-testing</w:t>
            </w:r>
          </w:p>
        </w:tc>
        <w:tc>
          <w:tcPr>
            <w:tcW w:w="309" w:type="pct"/>
            <w:shd w:val="clear" w:color="auto" w:fill="auto"/>
            <w:vAlign w:val="center"/>
          </w:tcPr>
          <w:p w14:paraId="019851B0" w14:textId="77777777" w:rsidR="006D5C17" w:rsidRPr="006D5C17" w:rsidRDefault="006D5C17" w:rsidP="00AA1312">
            <w:pPr>
              <w:pStyle w:val="NormalWeb"/>
              <w:spacing w:before="0" w:beforeAutospacing="0" w:after="0" w:afterAutospacing="0"/>
              <w:rPr>
                <w:sz w:val="16"/>
                <w:szCs w:val="20"/>
              </w:rPr>
            </w:pPr>
          </w:p>
        </w:tc>
        <w:tc>
          <w:tcPr>
            <w:tcW w:w="309" w:type="pct"/>
            <w:shd w:val="clear" w:color="auto" w:fill="auto"/>
            <w:noWrap/>
            <w:vAlign w:val="center"/>
          </w:tcPr>
          <w:p w14:paraId="4B82849C" w14:textId="633AFD69" w:rsidR="006D5C17" w:rsidRPr="006D5C17" w:rsidRDefault="006D5C17" w:rsidP="00AA1312">
            <w:pPr>
              <w:pStyle w:val="NormalWeb"/>
              <w:spacing w:before="0" w:beforeAutospacing="0" w:after="0" w:afterAutospacing="0"/>
              <w:rPr>
                <w:sz w:val="16"/>
                <w:szCs w:val="20"/>
              </w:rPr>
            </w:pPr>
          </w:p>
        </w:tc>
        <w:tc>
          <w:tcPr>
            <w:tcW w:w="309" w:type="pct"/>
            <w:shd w:val="clear" w:color="auto" w:fill="auto"/>
            <w:noWrap/>
            <w:vAlign w:val="center"/>
          </w:tcPr>
          <w:p w14:paraId="69262CF0" w14:textId="79F7F630" w:rsidR="006D5C17" w:rsidRPr="006D5C17" w:rsidRDefault="006D5C17" w:rsidP="00AA1312">
            <w:pPr>
              <w:pStyle w:val="NormalWeb"/>
              <w:spacing w:before="0" w:beforeAutospacing="0" w:after="0" w:afterAutospacing="0"/>
              <w:rPr>
                <w:sz w:val="16"/>
                <w:szCs w:val="20"/>
              </w:rPr>
            </w:pPr>
          </w:p>
        </w:tc>
        <w:tc>
          <w:tcPr>
            <w:tcW w:w="413" w:type="pct"/>
          </w:tcPr>
          <w:p w14:paraId="7896D770" w14:textId="38AC8F91" w:rsidR="006D5C17" w:rsidRPr="006D5C17" w:rsidRDefault="006D5C17" w:rsidP="00AA1312">
            <w:pPr>
              <w:pStyle w:val="NormalWeb"/>
              <w:spacing w:before="0" w:beforeAutospacing="0" w:after="0" w:afterAutospacing="0"/>
              <w:rPr>
                <w:sz w:val="16"/>
                <w:szCs w:val="20"/>
              </w:rPr>
            </w:pPr>
            <w:r w:rsidRPr="006D5C17">
              <w:rPr>
                <w:sz w:val="16"/>
                <w:szCs w:val="20"/>
              </w:rPr>
              <w:t>Districts</w:t>
            </w:r>
          </w:p>
        </w:tc>
        <w:tc>
          <w:tcPr>
            <w:tcW w:w="413" w:type="pct"/>
            <w:shd w:val="clear" w:color="auto" w:fill="auto"/>
            <w:noWrap/>
            <w:vAlign w:val="center"/>
          </w:tcPr>
          <w:p w14:paraId="4DD3E53D" w14:textId="77777777" w:rsidR="006D5C17" w:rsidRPr="006D5C17" w:rsidRDefault="006D5C17" w:rsidP="00AA1312">
            <w:pPr>
              <w:pStyle w:val="NormalWeb"/>
              <w:spacing w:before="0" w:beforeAutospacing="0" w:after="0" w:afterAutospacing="0"/>
              <w:rPr>
                <w:sz w:val="16"/>
                <w:szCs w:val="20"/>
              </w:rPr>
            </w:pPr>
          </w:p>
        </w:tc>
        <w:tc>
          <w:tcPr>
            <w:tcW w:w="413" w:type="pct"/>
          </w:tcPr>
          <w:p w14:paraId="550E313F" w14:textId="77777777" w:rsidR="006D5C17" w:rsidRPr="006D5C17" w:rsidRDefault="006D5C17" w:rsidP="00AA1312">
            <w:pPr>
              <w:pStyle w:val="NormalWeb"/>
              <w:spacing w:before="0" w:beforeAutospacing="0" w:after="0" w:afterAutospacing="0"/>
              <w:rPr>
                <w:sz w:val="16"/>
                <w:szCs w:val="20"/>
              </w:rPr>
            </w:pPr>
          </w:p>
        </w:tc>
        <w:tc>
          <w:tcPr>
            <w:tcW w:w="414" w:type="pct"/>
          </w:tcPr>
          <w:p w14:paraId="1C8420CB" w14:textId="77777777" w:rsidR="006D5C17" w:rsidRPr="006D5C17" w:rsidRDefault="006D5C17" w:rsidP="00AA1312">
            <w:pPr>
              <w:pStyle w:val="NormalWeb"/>
              <w:spacing w:before="0" w:beforeAutospacing="0" w:after="0" w:afterAutospacing="0"/>
              <w:rPr>
                <w:sz w:val="16"/>
                <w:szCs w:val="20"/>
              </w:rPr>
            </w:pPr>
          </w:p>
        </w:tc>
        <w:tc>
          <w:tcPr>
            <w:tcW w:w="419" w:type="pct"/>
          </w:tcPr>
          <w:p w14:paraId="25C6D91C" w14:textId="77777777" w:rsidR="006D5C17" w:rsidRPr="006D5C17" w:rsidRDefault="006D5C17" w:rsidP="00AA1312">
            <w:pPr>
              <w:pStyle w:val="NormalWeb"/>
              <w:spacing w:before="0" w:beforeAutospacing="0" w:after="0" w:afterAutospacing="0"/>
              <w:rPr>
                <w:sz w:val="16"/>
                <w:szCs w:val="20"/>
              </w:rPr>
            </w:pPr>
          </w:p>
        </w:tc>
        <w:tc>
          <w:tcPr>
            <w:tcW w:w="301" w:type="pct"/>
          </w:tcPr>
          <w:p w14:paraId="17C879AD" w14:textId="77777777" w:rsidR="006D5C17" w:rsidRPr="006D5C17" w:rsidRDefault="006D5C17" w:rsidP="00AA1312">
            <w:pPr>
              <w:pStyle w:val="NormalWeb"/>
              <w:spacing w:before="0" w:beforeAutospacing="0" w:after="0" w:afterAutospacing="0"/>
              <w:rPr>
                <w:sz w:val="16"/>
                <w:szCs w:val="20"/>
              </w:rPr>
            </w:pPr>
          </w:p>
        </w:tc>
        <w:tc>
          <w:tcPr>
            <w:tcW w:w="310" w:type="pct"/>
          </w:tcPr>
          <w:p w14:paraId="1A9A8BE7" w14:textId="77777777" w:rsidR="006D5C17" w:rsidRPr="006D5C17" w:rsidRDefault="006D5C17" w:rsidP="00AA1312">
            <w:pPr>
              <w:pStyle w:val="NormalWeb"/>
              <w:spacing w:before="0" w:beforeAutospacing="0" w:after="0" w:afterAutospacing="0"/>
              <w:rPr>
                <w:sz w:val="16"/>
                <w:szCs w:val="20"/>
              </w:rPr>
            </w:pPr>
          </w:p>
        </w:tc>
        <w:tc>
          <w:tcPr>
            <w:tcW w:w="318" w:type="pct"/>
          </w:tcPr>
          <w:p w14:paraId="590A04DF" w14:textId="77777777" w:rsidR="006D5C17" w:rsidRPr="006D5C17" w:rsidRDefault="006D5C17" w:rsidP="00AA1312">
            <w:pPr>
              <w:pStyle w:val="NormalWeb"/>
              <w:spacing w:before="0" w:beforeAutospacing="0" w:after="0" w:afterAutospacing="0"/>
              <w:rPr>
                <w:sz w:val="16"/>
                <w:szCs w:val="20"/>
              </w:rPr>
            </w:pPr>
          </w:p>
        </w:tc>
        <w:tc>
          <w:tcPr>
            <w:tcW w:w="309" w:type="pct"/>
          </w:tcPr>
          <w:p w14:paraId="7069B926" w14:textId="77777777" w:rsidR="006D5C17" w:rsidRPr="006D5C17" w:rsidRDefault="006D5C17" w:rsidP="00AA1312">
            <w:pPr>
              <w:pStyle w:val="NormalWeb"/>
              <w:spacing w:before="0" w:beforeAutospacing="0" w:after="0" w:afterAutospacing="0"/>
              <w:rPr>
                <w:sz w:val="16"/>
                <w:szCs w:val="20"/>
              </w:rPr>
            </w:pPr>
          </w:p>
        </w:tc>
      </w:tr>
      <w:tr w:rsidR="00C615E9" w:rsidRPr="006D5C17" w14:paraId="0D65B964" w14:textId="22F0D45A" w:rsidTr="004216E0">
        <w:trPr>
          <w:trHeight w:val="70"/>
        </w:trPr>
        <w:tc>
          <w:tcPr>
            <w:tcW w:w="761" w:type="pct"/>
            <w:shd w:val="clear" w:color="auto" w:fill="auto"/>
            <w:vAlign w:val="center"/>
            <w:hideMark/>
          </w:tcPr>
          <w:p w14:paraId="341D8CAF" w14:textId="77777777" w:rsidR="00C615E9" w:rsidRPr="006D5C17" w:rsidRDefault="00C615E9" w:rsidP="008601EE">
            <w:pPr>
              <w:pStyle w:val="NormalWeb"/>
              <w:spacing w:before="0" w:beforeAutospacing="0" w:after="0" w:afterAutospacing="0"/>
              <w:rPr>
                <w:sz w:val="18"/>
                <w:szCs w:val="22"/>
              </w:rPr>
            </w:pPr>
            <w:r w:rsidRPr="006D5C17">
              <w:rPr>
                <w:sz w:val="18"/>
                <w:szCs w:val="22"/>
              </w:rPr>
              <w:t>Field implementation of survey</w:t>
            </w:r>
          </w:p>
        </w:tc>
        <w:tc>
          <w:tcPr>
            <w:tcW w:w="309" w:type="pct"/>
            <w:shd w:val="clear" w:color="auto" w:fill="auto"/>
            <w:vAlign w:val="center"/>
            <w:hideMark/>
          </w:tcPr>
          <w:p w14:paraId="6CAAEAC4" w14:textId="77777777" w:rsidR="00C615E9" w:rsidRPr="006D5C17" w:rsidRDefault="00C615E9" w:rsidP="00AA1312">
            <w:pPr>
              <w:pStyle w:val="NormalWeb"/>
              <w:spacing w:before="0" w:beforeAutospacing="0" w:after="0" w:afterAutospacing="0"/>
              <w:rPr>
                <w:sz w:val="16"/>
                <w:szCs w:val="20"/>
              </w:rPr>
            </w:pPr>
            <w:r w:rsidRPr="006D5C17">
              <w:rPr>
                <w:sz w:val="16"/>
                <w:szCs w:val="20"/>
              </w:rPr>
              <w:t> </w:t>
            </w:r>
          </w:p>
        </w:tc>
        <w:tc>
          <w:tcPr>
            <w:tcW w:w="309" w:type="pct"/>
            <w:shd w:val="clear" w:color="auto" w:fill="auto"/>
            <w:noWrap/>
            <w:vAlign w:val="center"/>
          </w:tcPr>
          <w:p w14:paraId="73FD4F32"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57D423E1" w14:textId="2C78BE7E" w:rsidR="00C615E9" w:rsidRPr="006D5C17" w:rsidRDefault="00C615E9" w:rsidP="00A30E59">
            <w:pPr>
              <w:pStyle w:val="NormalWeb"/>
              <w:spacing w:before="0" w:beforeAutospacing="0" w:after="0" w:afterAutospacing="0"/>
              <w:rPr>
                <w:sz w:val="16"/>
                <w:szCs w:val="20"/>
              </w:rPr>
            </w:pPr>
          </w:p>
        </w:tc>
        <w:tc>
          <w:tcPr>
            <w:tcW w:w="413" w:type="pct"/>
            <w:vAlign w:val="center"/>
          </w:tcPr>
          <w:p w14:paraId="00714C2E" w14:textId="4F0C7887" w:rsidR="00C615E9" w:rsidRPr="006D5C17" w:rsidRDefault="00C615E9" w:rsidP="00A30E59">
            <w:pPr>
              <w:pStyle w:val="NormalWeb"/>
              <w:spacing w:before="0" w:beforeAutospacing="0" w:after="0" w:afterAutospacing="0"/>
              <w:rPr>
                <w:sz w:val="16"/>
                <w:szCs w:val="20"/>
              </w:rPr>
            </w:pPr>
          </w:p>
        </w:tc>
        <w:tc>
          <w:tcPr>
            <w:tcW w:w="413" w:type="pct"/>
            <w:shd w:val="clear" w:color="auto" w:fill="auto"/>
            <w:noWrap/>
            <w:vAlign w:val="center"/>
          </w:tcPr>
          <w:p w14:paraId="1584213C" w14:textId="427B7FBD" w:rsidR="00C615E9" w:rsidRPr="006D5C17" w:rsidRDefault="00C615E9" w:rsidP="00AA1312">
            <w:pPr>
              <w:pStyle w:val="NormalWeb"/>
              <w:spacing w:before="0" w:beforeAutospacing="0" w:after="0" w:afterAutospacing="0"/>
              <w:rPr>
                <w:sz w:val="16"/>
                <w:szCs w:val="20"/>
              </w:rPr>
            </w:pPr>
          </w:p>
        </w:tc>
        <w:tc>
          <w:tcPr>
            <w:tcW w:w="413" w:type="pct"/>
          </w:tcPr>
          <w:p w14:paraId="08FBA7D5" w14:textId="16E05AF7" w:rsidR="00C615E9" w:rsidRPr="006D5C17" w:rsidRDefault="00C615E9" w:rsidP="00AA1312">
            <w:pPr>
              <w:pStyle w:val="NormalWeb"/>
              <w:spacing w:before="0" w:beforeAutospacing="0" w:after="0" w:afterAutospacing="0"/>
              <w:rPr>
                <w:sz w:val="16"/>
                <w:szCs w:val="20"/>
              </w:rPr>
            </w:pPr>
          </w:p>
        </w:tc>
        <w:tc>
          <w:tcPr>
            <w:tcW w:w="414" w:type="pct"/>
          </w:tcPr>
          <w:p w14:paraId="39625BBA" w14:textId="4C1D084D" w:rsidR="00C615E9" w:rsidRPr="006D5C17" w:rsidRDefault="00C615E9" w:rsidP="00AA1312">
            <w:pPr>
              <w:pStyle w:val="NormalWeb"/>
              <w:spacing w:before="0" w:beforeAutospacing="0" w:after="0" w:afterAutospacing="0"/>
              <w:rPr>
                <w:b/>
                <w:sz w:val="16"/>
                <w:szCs w:val="20"/>
              </w:rPr>
            </w:pPr>
            <w:r w:rsidRPr="006D5C17">
              <w:rPr>
                <w:sz w:val="16"/>
                <w:szCs w:val="20"/>
              </w:rPr>
              <w:t>Districts</w:t>
            </w:r>
          </w:p>
        </w:tc>
        <w:tc>
          <w:tcPr>
            <w:tcW w:w="419" w:type="pct"/>
            <w:vAlign w:val="center"/>
          </w:tcPr>
          <w:p w14:paraId="55988A8E" w14:textId="63D34B4A" w:rsidR="00C615E9" w:rsidRPr="006D5C17" w:rsidRDefault="00C615E9" w:rsidP="00AA1312">
            <w:pPr>
              <w:pStyle w:val="NormalWeb"/>
              <w:spacing w:before="0" w:beforeAutospacing="0" w:after="0" w:afterAutospacing="0"/>
              <w:rPr>
                <w:sz w:val="16"/>
                <w:szCs w:val="20"/>
              </w:rPr>
            </w:pPr>
            <w:r w:rsidRPr="006D5C17">
              <w:rPr>
                <w:sz w:val="16"/>
                <w:szCs w:val="20"/>
              </w:rPr>
              <w:t>Districts</w:t>
            </w:r>
          </w:p>
        </w:tc>
        <w:tc>
          <w:tcPr>
            <w:tcW w:w="301" w:type="pct"/>
          </w:tcPr>
          <w:p w14:paraId="2A7A8D5C" w14:textId="3BFC3DF5" w:rsidR="00C615E9" w:rsidRPr="006D5C17" w:rsidRDefault="00C615E9" w:rsidP="00AA1312">
            <w:pPr>
              <w:pStyle w:val="NormalWeb"/>
              <w:spacing w:before="0" w:beforeAutospacing="0" w:after="0" w:afterAutospacing="0"/>
              <w:rPr>
                <w:sz w:val="16"/>
                <w:szCs w:val="20"/>
              </w:rPr>
            </w:pPr>
            <w:r w:rsidRPr="006D5C17">
              <w:rPr>
                <w:sz w:val="16"/>
                <w:szCs w:val="20"/>
              </w:rPr>
              <w:t>Districts</w:t>
            </w:r>
          </w:p>
        </w:tc>
        <w:tc>
          <w:tcPr>
            <w:tcW w:w="310" w:type="pct"/>
          </w:tcPr>
          <w:p w14:paraId="33AA1475" w14:textId="77777777" w:rsidR="00C615E9" w:rsidRPr="006D5C17" w:rsidRDefault="00C615E9" w:rsidP="00AA1312">
            <w:pPr>
              <w:pStyle w:val="NormalWeb"/>
              <w:spacing w:before="0" w:beforeAutospacing="0" w:after="0" w:afterAutospacing="0"/>
              <w:rPr>
                <w:sz w:val="16"/>
                <w:szCs w:val="20"/>
              </w:rPr>
            </w:pPr>
          </w:p>
        </w:tc>
        <w:tc>
          <w:tcPr>
            <w:tcW w:w="318" w:type="pct"/>
          </w:tcPr>
          <w:p w14:paraId="0C0F49C1" w14:textId="77777777" w:rsidR="00C615E9" w:rsidRPr="006D5C17" w:rsidRDefault="00C615E9" w:rsidP="00AA1312">
            <w:pPr>
              <w:pStyle w:val="NormalWeb"/>
              <w:spacing w:before="0" w:beforeAutospacing="0" w:after="0" w:afterAutospacing="0"/>
              <w:rPr>
                <w:sz w:val="16"/>
                <w:szCs w:val="20"/>
              </w:rPr>
            </w:pPr>
          </w:p>
        </w:tc>
        <w:tc>
          <w:tcPr>
            <w:tcW w:w="309" w:type="pct"/>
          </w:tcPr>
          <w:p w14:paraId="418D2869" w14:textId="77777777" w:rsidR="00C615E9" w:rsidRPr="006D5C17" w:rsidRDefault="00C615E9" w:rsidP="00AA1312">
            <w:pPr>
              <w:pStyle w:val="NormalWeb"/>
              <w:spacing w:before="0" w:beforeAutospacing="0" w:after="0" w:afterAutospacing="0"/>
              <w:rPr>
                <w:sz w:val="16"/>
                <w:szCs w:val="20"/>
              </w:rPr>
            </w:pPr>
          </w:p>
        </w:tc>
      </w:tr>
      <w:tr w:rsidR="00C615E9" w:rsidRPr="006D5C17" w14:paraId="2A9B5587" w14:textId="5F541FEE" w:rsidTr="00C615E9">
        <w:trPr>
          <w:trHeight w:val="332"/>
        </w:trPr>
        <w:tc>
          <w:tcPr>
            <w:tcW w:w="761" w:type="pct"/>
            <w:shd w:val="clear" w:color="auto" w:fill="auto"/>
            <w:vAlign w:val="center"/>
            <w:hideMark/>
          </w:tcPr>
          <w:p w14:paraId="1285DFC9" w14:textId="77777777" w:rsidR="00C615E9" w:rsidRPr="006D5C17" w:rsidRDefault="00C615E9" w:rsidP="00AA1312">
            <w:pPr>
              <w:pStyle w:val="NormalWeb"/>
              <w:spacing w:before="0" w:beforeAutospacing="0" w:after="0" w:afterAutospacing="0"/>
              <w:rPr>
                <w:sz w:val="18"/>
                <w:szCs w:val="22"/>
              </w:rPr>
            </w:pPr>
            <w:r w:rsidRPr="006D5C17">
              <w:rPr>
                <w:sz w:val="18"/>
                <w:szCs w:val="22"/>
              </w:rPr>
              <w:t xml:space="preserve">Survey data entry and analysis </w:t>
            </w:r>
          </w:p>
        </w:tc>
        <w:tc>
          <w:tcPr>
            <w:tcW w:w="309" w:type="pct"/>
            <w:shd w:val="clear" w:color="auto" w:fill="auto"/>
            <w:vAlign w:val="center"/>
            <w:hideMark/>
          </w:tcPr>
          <w:p w14:paraId="34E6ED2C" w14:textId="77777777" w:rsidR="00C615E9" w:rsidRPr="006D5C17" w:rsidRDefault="00C615E9" w:rsidP="00AA1312">
            <w:pPr>
              <w:pStyle w:val="NormalWeb"/>
              <w:spacing w:before="0" w:beforeAutospacing="0" w:after="0" w:afterAutospacing="0"/>
              <w:rPr>
                <w:sz w:val="16"/>
                <w:szCs w:val="20"/>
              </w:rPr>
            </w:pPr>
            <w:r w:rsidRPr="006D5C17">
              <w:rPr>
                <w:sz w:val="16"/>
                <w:szCs w:val="20"/>
              </w:rPr>
              <w:t> </w:t>
            </w:r>
          </w:p>
        </w:tc>
        <w:tc>
          <w:tcPr>
            <w:tcW w:w="309" w:type="pct"/>
            <w:shd w:val="clear" w:color="auto" w:fill="auto"/>
            <w:noWrap/>
            <w:vAlign w:val="center"/>
          </w:tcPr>
          <w:p w14:paraId="1A2591F2"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2E5CA60A" w14:textId="77777777" w:rsidR="00C615E9" w:rsidRPr="006D5C17" w:rsidRDefault="00C615E9" w:rsidP="00AA1312">
            <w:pPr>
              <w:pStyle w:val="NormalWeb"/>
              <w:spacing w:before="0" w:beforeAutospacing="0" w:after="0" w:afterAutospacing="0"/>
              <w:rPr>
                <w:sz w:val="16"/>
                <w:szCs w:val="20"/>
              </w:rPr>
            </w:pPr>
          </w:p>
        </w:tc>
        <w:tc>
          <w:tcPr>
            <w:tcW w:w="413" w:type="pct"/>
          </w:tcPr>
          <w:p w14:paraId="335A9F28"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36988CFC" w14:textId="2BB27A9D" w:rsidR="00C615E9" w:rsidRPr="006D5C17" w:rsidRDefault="00C615E9" w:rsidP="00AA1312">
            <w:pPr>
              <w:pStyle w:val="NormalWeb"/>
              <w:spacing w:before="0" w:beforeAutospacing="0" w:after="0" w:afterAutospacing="0"/>
              <w:rPr>
                <w:sz w:val="16"/>
                <w:szCs w:val="20"/>
              </w:rPr>
            </w:pPr>
          </w:p>
        </w:tc>
        <w:tc>
          <w:tcPr>
            <w:tcW w:w="413" w:type="pct"/>
          </w:tcPr>
          <w:p w14:paraId="15657604" w14:textId="77777777" w:rsidR="00C615E9" w:rsidRPr="006D5C17" w:rsidRDefault="00C615E9" w:rsidP="00AA1312">
            <w:pPr>
              <w:pStyle w:val="NormalWeb"/>
              <w:spacing w:before="0" w:beforeAutospacing="0" w:after="0" w:afterAutospacing="0"/>
              <w:rPr>
                <w:sz w:val="16"/>
                <w:szCs w:val="20"/>
              </w:rPr>
            </w:pPr>
          </w:p>
        </w:tc>
        <w:tc>
          <w:tcPr>
            <w:tcW w:w="414" w:type="pct"/>
          </w:tcPr>
          <w:p w14:paraId="706D4274" w14:textId="77777777" w:rsidR="00C615E9" w:rsidRPr="006D5C17" w:rsidRDefault="00C615E9" w:rsidP="00AA1312">
            <w:pPr>
              <w:pStyle w:val="NormalWeb"/>
              <w:spacing w:before="0" w:beforeAutospacing="0" w:after="0" w:afterAutospacing="0"/>
              <w:rPr>
                <w:sz w:val="16"/>
                <w:szCs w:val="20"/>
              </w:rPr>
            </w:pPr>
          </w:p>
        </w:tc>
        <w:tc>
          <w:tcPr>
            <w:tcW w:w="419" w:type="pct"/>
          </w:tcPr>
          <w:p w14:paraId="51BEAADF" w14:textId="77777777" w:rsidR="00C615E9" w:rsidRPr="006D5C17" w:rsidRDefault="00C615E9" w:rsidP="00AA1312">
            <w:pPr>
              <w:pStyle w:val="NormalWeb"/>
              <w:spacing w:before="0" w:beforeAutospacing="0" w:after="0" w:afterAutospacing="0"/>
              <w:rPr>
                <w:sz w:val="16"/>
                <w:szCs w:val="20"/>
              </w:rPr>
            </w:pPr>
          </w:p>
        </w:tc>
        <w:tc>
          <w:tcPr>
            <w:tcW w:w="301" w:type="pct"/>
          </w:tcPr>
          <w:p w14:paraId="6A6E0B61" w14:textId="77777777" w:rsidR="00C615E9" w:rsidRPr="006D5C17" w:rsidRDefault="00C615E9" w:rsidP="00AA1312">
            <w:pPr>
              <w:pStyle w:val="NormalWeb"/>
              <w:spacing w:before="0" w:beforeAutospacing="0" w:after="0" w:afterAutospacing="0"/>
              <w:rPr>
                <w:sz w:val="16"/>
                <w:szCs w:val="20"/>
              </w:rPr>
            </w:pPr>
          </w:p>
        </w:tc>
        <w:tc>
          <w:tcPr>
            <w:tcW w:w="310" w:type="pct"/>
          </w:tcPr>
          <w:p w14:paraId="03B2BE84" w14:textId="77777777" w:rsidR="00C615E9" w:rsidRPr="006D5C17" w:rsidRDefault="00C615E9" w:rsidP="00AA1312">
            <w:pPr>
              <w:pStyle w:val="NormalWeb"/>
              <w:spacing w:before="0" w:beforeAutospacing="0" w:after="0" w:afterAutospacing="0"/>
              <w:rPr>
                <w:sz w:val="16"/>
                <w:szCs w:val="20"/>
              </w:rPr>
            </w:pPr>
          </w:p>
        </w:tc>
        <w:tc>
          <w:tcPr>
            <w:tcW w:w="318" w:type="pct"/>
          </w:tcPr>
          <w:p w14:paraId="3959DADB" w14:textId="77777777" w:rsidR="00C615E9" w:rsidRPr="006D5C17" w:rsidRDefault="00C615E9" w:rsidP="00AA1312">
            <w:pPr>
              <w:pStyle w:val="NormalWeb"/>
              <w:spacing w:before="0" w:beforeAutospacing="0" w:after="0" w:afterAutospacing="0"/>
              <w:rPr>
                <w:sz w:val="16"/>
                <w:szCs w:val="20"/>
              </w:rPr>
            </w:pPr>
          </w:p>
        </w:tc>
        <w:tc>
          <w:tcPr>
            <w:tcW w:w="309" w:type="pct"/>
          </w:tcPr>
          <w:p w14:paraId="472DE4E4" w14:textId="77777777" w:rsidR="00C615E9" w:rsidRPr="006D5C17" w:rsidRDefault="00C615E9" w:rsidP="00AA1312">
            <w:pPr>
              <w:pStyle w:val="NormalWeb"/>
              <w:spacing w:before="0" w:beforeAutospacing="0" w:after="0" w:afterAutospacing="0"/>
              <w:rPr>
                <w:sz w:val="16"/>
                <w:szCs w:val="20"/>
              </w:rPr>
            </w:pPr>
          </w:p>
        </w:tc>
      </w:tr>
      <w:tr w:rsidR="00C615E9" w:rsidRPr="006D5C17" w14:paraId="4D74FC62" w14:textId="46B2D6CB" w:rsidTr="00C615E9">
        <w:trPr>
          <w:trHeight w:val="332"/>
        </w:trPr>
        <w:tc>
          <w:tcPr>
            <w:tcW w:w="761" w:type="pct"/>
            <w:shd w:val="clear" w:color="auto" w:fill="auto"/>
            <w:vAlign w:val="center"/>
          </w:tcPr>
          <w:p w14:paraId="242CD969" w14:textId="5C8AB13F" w:rsidR="00C615E9" w:rsidRPr="006D5C17" w:rsidRDefault="00C615E9" w:rsidP="006D5C17">
            <w:pPr>
              <w:pStyle w:val="NormalWeb"/>
              <w:spacing w:before="0" w:beforeAutospacing="0" w:after="0" w:afterAutospacing="0"/>
              <w:rPr>
                <w:sz w:val="18"/>
                <w:szCs w:val="22"/>
              </w:rPr>
            </w:pPr>
            <w:r w:rsidRPr="006D5C17">
              <w:rPr>
                <w:sz w:val="18"/>
                <w:szCs w:val="22"/>
              </w:rPr>
              <w:t xml:space="preserve">Sending Samples for Laboratory Analysis </w:t>
            </w:r>
          </w:p>
        </w:tc>
        <w:tc>
          <w:tcPr>
            <w:tcW w:w="309" w:type="pct"/>
            <w:shd w:val="clear" w:color="auto" w:fill="auto"/>
            <w:vAlign w:val="center"/>
          </w:tcPr>
          <w:p w14:paraId="679D61EA"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1BC246DF"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07258BF7" w14:textId="77777777" w:rsidR="00C615E9" w:rsidRPr="006D5C17" w:rsidRDefault="00C615E9" w:rsidP="00AA1312">
            <w:pPr>
              <w:pStyle w:val="NormalWeb"/>
              <w:spacing w:before="0" w:beforeAutospacing="0" w:after="0" w:afterAutospacing="0"/>
              <w:rPr>
                <w:sz w:val="16"/>
                <w:szCs w:val="20"/>
              </w:rPr>
            </w:pPr>
          </w:p>
        </w:tc>
        <w:tc>
          <w:tcPr>
            <w:tcW w:w="413" w:type="pct"/>
          </w:tcPr>
          <w:p w14:paraId="467749FD"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695E3EC8" w14:textId="77777777" w:rsidR="00C615E9" w:rsidRPr="006D5C17" w:rsidRDefault="00C615E9" w:rsidP="00AA1312">
            <w:pPr>
              <w:pStyle w:val="NormalWeb"/>
              <w:spacing w:before="0" w:beforeAutospacing="0" w:after="0" w:afterAutospacing="0"/>
              <w:rPr>
                <w:sz w:val="16"/>
                <w:szCs w:val="20"/>
              </w:rPr>
            </w:pPr>
          </w:p>
        </w:tc>
        <w:tc>
          <w:tcPr>
            <w:tcW w:w="413" w:type="pct"/>
          </w:tcPr>
          <w:p w14:paraId="5F9B709F" w14:textId="77777777" w:rsidR="00C615E9" w:rsidRPr="006D5C17" w:rsidRDefault="00C615E9" w:rsidP="00AA1312">
            <w:pPr>
              <w:pStyle w:val="NormalWeb"/>
              <w:spacing w:before="0" w:beforeAutospacing="0" w:after="0" w:afterAutospacing="0"/>
              <w:rPr>
                <w:sz w:val="16"/>
                <w:szCs w:val="20"/>
              </w:rPr>
            </w:pPr>
          </w:p>
        </w:tc>
        <w:tc>
          <w:tcPr>
            <w:tcW w:w="414" w:type="pct"/>
          </w:tcPr>
          <w:p w14:paraId="693C682A" w14:textId="77777777" w:rsidR="00C615E9" w:rsidRPr="006D5C17" w:rsidRDefault="00C615E9" w:rsidP="00AA1312">
            <w:pPr>
              <w:pStyle w:val="NormalWeb"/>
              <w:spacing w:before="0" w:beforeAutospacing="0" w:after="0" w:afterAutospacing="0"/>
              <w:rPr>
                <w:sz w:val="16"/>
                <w:szCs w:val="20"/>
              </w:rPr>
            </w:pPr>
          </w:p>
        </w:tc>
        <w:tc>
          <w:tcPr>
            <w:tcW w:w="419" w:type="pct"/>
          </w:tcPr>
          <w:p w14:paraId="2091B325" w14:textId="0FB4FF01" w:rsidR="00C615E9" w:rsidRPr="006D5C17" w:rsidRDefault="00C615E9" w:rsidP="00AA1312">
            <w:pPr>
              <w:pStyle w:val="NormalWeb"/>
              <w:spacing w:before="0" w:beforeAutospacing="0" w:after="0" w:afterAutospacing="0"/>
              <w:rPr>
                <w:sz w:val="16"/>
                <w:szCs w:val="20"/>
              </w:rPr>
            </w:pPr>
            <w:r w:rsidRPr="006D5C17">
              <w:rPr>
                <w:sz w:val="16"/>
                <w:szCs w:val="20"/>
              </w:rPr>
              <w:t>Couriers</w:t>
            </w:r>
          </w:p>
        </w:tc>
        <w:tc>
          <w:tcPr>
            <w:tcW w:w="301" w:type="pct"/>
          </w:tcPr>
          <w:p w14:paraId="0CAF9799" w14:textId="77777777" w:rsidR="00C615E9" w:rsidRPr="006D5C17" w:rsidRDefault="00C615E9" w:rsidP="00AA1312">
            <w:pPr>
              <w:pStyle w:val="NormalWeb"/>
              <w:spacing w:before="0" w:beforeAutospacing="0" w:after="0" w:afterAutospacing="0"/>
              <w:rPr>
                <w:sz w:val="16"/>
                <w:szCs w:val="20"/>
              </w:rPr>
            </w:pPr>
          </w:p>
        </w:tc>
        <w:tc>
          <w:tcPr>
            <w:tcW w:w="310" w:type="pct"/>
          </w:tcPr>
          <w:p w14:paraId="69C03400" w14:textId="77777777" w:rsidR="00C615E9" w:rsidRPr="006D5C17" w:rsidRDefault="00C615E9" w:rsidP="00AA1312">
            <w:pPr>
              <w:pStyle w:val="NormalWeb"/>
              <w:spacing w:before="0" w:beforeAutospacing="0" w:after="0" w:afterAutospacing="0"/>
              <w:rPr>
                <w:sz w:val="16"/>
                <w:szCs w:val="20"/>
              </w:rPr>
            </w:pPr>
          </w:p>
        </w:tc>
        <w:tc>
          <w:tcPr>
            <w:tcW w:w="318" w:type="pct"/>
          </w:tcPr>
          <w:p w14:paraId="55E70D06" w14:textId="77777777" w:rsidR="00C615E9" w:rsidRPr="006D5C17" w:rsidRDefault="00C615E9" w:rsidP="00AA1312">
            <w:pPr>
              <w:pStyle w:val="NormalWeb"/>
              <w:spacing w:before="0" w:beforeAutospacing="0" w:after="0" w:afterAutospacing="0"/>
              <w:rPr>
                <w:sz w:val="16"/>
                <w:szCs w:val="20"/>
              </w:rPr>
            </w:pPr>
          </w:p>
        </w:tc>
        <w:tc>
          <w:tcPr>
            <w:tcW w:w="309" w:type="pct"/>
          </w:tcPr>
          <w:p w14:paraId="1BEB92DF" w14:textId="77777777" w:rsidR="00C615E9" w:rsidRPr="006D5C17" w:rsidRDefault="00C615E9" w:rsidP="00AA1312">
            <w:pPr>
              <w:pStyle w:val="NormalWeb"/>
              <w:spacing w:before="0" w:beforeAutospacing="0" w:after="0" w:afterAutospacing="0"/>
              <w:rPr>
                <w:sz w:val="16"/>
                <w:szCs w:val="20"/>
              </w:rPr>
            </w:pPr>
          </w:p>
        </w:tc>
      </w:tr>
      <w:tr w:rsidR="00C615E9" w:rsidRPr="006D5C17" w14:paraId="3663A1D3" w14:textId="376E39DF" w:rsidTr="00C615E9">
        <w:trPr>
          <w:trHeight w:val="332"/>
        </w:trPr>
        <w:tc>
          <w:tcPr>
            <w:tcW w:w="761" w:type="pct"/>
            <w:shd w:val="clear" w:color="auto" w:fill="auto"/>
            <w:vAlign w:val="center"/>
          </w:tcPr>
          <w:p w14:paraId="1B0015EB" w14:textId="2DA78BE7" w:rsidR="00C615E9" w:rsidRPr="006D5C17" w:rsidRDefault="00C615E9" w:rsidP="006D5C17">
            <w:pPr>
              <w:pStyle w:val="NormalWeb"/>
              <w:spacing w:before="0" w:beforeAutospacing="0" w:after="0" w:afterAutospacing="0"/>
              <w:rPr>
                <w:sz w:val="18"/>
                <w:szCs w:val="22"/>
              </w:rPr>
            </w:pPr>
            <w:r w:rsidRPr="006D5C17">
              <w:rPr>
                <w:sz w:val="18"/>
                <w:szCs w:val="22"/>
              </w:rPr>
              <w:t>Lab Reports available (UNICEF/CDC)</w:t>
            </w:r>
          </w:p>
        </w:tc>
        <w:tc>
          <w:tcPr>
            <w:tcW w:w="309" w:type="pct"/>
            <w:shd w:val="clear" w:color="auto" w:fill="auto"/>
            <w:vAlign w:val="center"/>
          </w:tcPr>
          <w:p w14:paraId="6D559A4E"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080D9C8C"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0D3B643B" w14:textId="77777777" w:rsidR="00C615E9" w:rsidRPr="006D5C17" w:rsidRDefault="00C615E9" w:rsidP="00AA1312">
            <w:pPr>
              <w:pStyle w:val="NormalWeb"/>
              <w:spacing w:before="0" w:beforeAutospacing="0" w:after="0" w:afterAutospacing="0"/>
              <w:rPr>
                <w:sz w:val="16"/>
                <w:szCs w:val="20"/>
              </w:rPr>
            </w:pPr>
          </w:p>
        </w:tc>
        <w:tc>
          <w:tcPr>
            <w:tcW w:w="413" w:type="pct"/>
          </w:tcPr>
          <w:p w14:paraId="3A80D5D8"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7B9891F6" w14:textId="77777777" w:rsidR="00C615E9" w:rsidRPr="006D5C17" w:rsidRDefault="00C615E9" w:rsidP="00AA1312">
            <w:pPr>
              <w:pStyle w:val="NormalWeb"/>
              <w:spacing w:before="0" w:beforeAutospacing="0" w:after="0" w:afterAutospacing="0"/>
              <w:rPr>
                <w:sz w:val="16"/>
                <w:szCs w:val="20"/>
              </w:rPr>
            </w:pPr>
          </w:p>
        </w:tc>
        <w:tc>
          <w:tcPr>
            <w:tcW w:w="413" w:type="pct"/>
          </w:tcPr>
          <w:p w14:paraId="27248A0C" w14:textId="77777777" w:rsidR="00C615E9" w:rsidRPr="006D5C17" w:rsidRDefault="00C615E9" w:rsidP="00AA1312">
            <w:pPr>
              <w:pStyle w:val="NormalWeb"/>
              <w:spacing w:before="0" w:beforeAutospacing="0" w:after="0" w:afterAutospacing="0"/>
              <w:rPr>
                <w:sz w:val="16"/>
                <w:szCs w:val="20"/>
              </w:rPr>
            </w:pPr>
          </w:p>
        </w:tc>
        <w:tc>
          <w:tcPr>
            <w:tcW w:w="414" w:type="pct"/>
          </w:tcPr>
          <w:p w14:paraId="3FD0B59E" w14:textId="77777777" w:rsidR="00C615E9" w:rsidRPr="006D5C17" w:rsidRDefault="00C615E9" w:rsidP="00AA1312">
            <w:pPr>
              <w:pStyle w:val="NormalWeb"/>
              <w:spacing w:before="0" w:beforeAutospacing="0" w:after="0" w:afterAutospacing="0"/>
              <w:rPr>
                <w:sz w:val="16"/>
                <w:szCs w:val="20"/>
              </w:rPr>
            </w:pPr>
          </w:p>
        </w:tc>
        <w:tc>
          <w:tcPr>
            <w:tcW w:w="419" w:type="pct"/>
          </w:tcPr>
          <w:p w14:paraId="44D43E46" w14:textId="77777777" w:rsidR="00C615E9" w:rsidRPr="006D5C17" w:rsidRDefault="00C615E9" w:rsidP="00AA1312">
            <w:pPr>
              <w:pStyle w:val="NormalWeb"/>
              <w:spacing w:before="0" w:beforeAutospacing="0" w:after="0" w:afterAutospacing="0"/>
              <w:rPr>
                <w:sz w:val="16"/>
                <w:szCs w:val="20"/>
              </w:rPr>
            </w:pPr>
          </w:p>
        </w:tc>
        <w:tc>
          <w:tcPr>
            <w:tcW w:w="301" w:type="pct"/>
          </w:tcPr>
          <w:p w14:paraId="1D65CF09" w14:textId="230F88B4" w:rsidR="00C615E9" w:rsidRPr="006D5C17" w:rsidRDefault="00C615E9" w:rsidP="00AA1312">
            <w:pPr>
              <w:pStyle w:val="NormalWeb"/>
              <w:spacing w:before="0" w:beforeAutospacing="0" w:after="0" w:afterAutospacing="0"/>
              <w:rPr>
                <w:sz w:val="16"/>
                <w:szCs w:val="20"/>
              </w:rPr>
            </w:pPr>
            <w:r w:rsidRPr="006D5C17">
              <w:rPr>
                <w:sz w:val="16"/>
                <w:szCs w:val="20"/>
              </w:rPr>
              <w:t>Labs</w:t>
            </w:r>
          </w:p>
        </w:tc>
        <w:tc>
          <w:tcPr>
            <w:tcW w:w="310" w:type="pct"/>
          </w:tcPr>
          <w:p w14:paraId="65C44A4F" w14:textId="77777777" w:rsidR="00C615E9" w:rsidRPr="006D5C17" w:rsidRDefault="00C615E9" w:rsidP="00AA1312">
            <w:pPr>
              <w:pStyle w:val="NormalWeb"/>
              <w:spacing w:before="0" w:beforeAutospacing="0" w:after="0" w:afterAutospacing="0"/>
              <w:rPr>
                <w:sz w:val="16"/>
                <w:szCs w:val="20"/>
              </w:rPr>
            </w:pPr>
          </w:p>
        </w:tc>
        <w:tc>
          <w:tcPr>
            <w:tcW w:w="318" w:type="pct"/>
          </w:tcPr>
          <w:p w14:paraId="1AAEF715" w14:textId="77777777" w:rsidR="00C615E9" w:rsidRPr="006D5C17" w:rsidRDefault="00C615E9" w:rsidP="00AA1312">
            <w:pPr>
              <w:pStyle w:val="NormalWeb"/>
              <w:spacing w:before="0" w:beforeAutospacing="0" w:after="0" w:afterAutospacing="0"/>
              <w:rPr>
                <w:sz w:val="16"/>
                <w:szCs w:val="20"/>
              </w:rPr>
            </w:pPr>
          </w:p>
        </w:tc>
        <w:tc>
          <w:tcPr>
            <w:tcW w:w="309" w:type="pct"/>
          </w:tcPr>
          <w:p w14:paraId="454996A7" w14:textId="77777777" w:rsidR="00C615E9" w:rsidRPr="006D5C17" w:rsidRDefault="00C615E9" w:rsidP="00AA1312">
            <w:pPr>
              <w:pStyle w:val="NormalWeb"/>
              <w:spacing w:before="0" w:beforeAutospacing="0" w:after="0" w:afterAutospacing="0"/>
              <w:rPr>
                <w:sz w:val="16"/>
                <w:szCs w:val="20"/>
              </w:rPr>
            </w:pPr>
          </w:p>
        </w:tc>
      </w:tr>
      <w:tr w:rsidR="00C615E9" w:rsidRPr="006D5C17" w14:paraId="1A9A9A1C" w14:textId="33255D16" w:rsidTr="00C615E9">
        <w:trPr>
          <w:trHeight w:val="350"/>
        </w:trPr>
        <w:tc>
          <w:tcPr>
            <w:tcW w:w="761" w:type="pct"/>
            <w:shd w:val="clear" w:color="auto" w:fill="auto"/>
            <w:vAlign w:val="center"/>
          </w:tcPr>
          <w:p w14:paraId="1C030F60" w14:textId="5326D317" w:rsidR="00C615E9" w:rsidRPr="006D5C17" w:rsidRDefault="00C615E9" w:rsidP="006D5C17">
            <w:pPr>
              <w:pStyle w:val="NormalWeb"/>
              <w:spacing w:before="0" w:beforeAutospacing="0" w:after="0" w:afterAutospacing="0"/>
              <w:rPr>
                <w:sz w:val="18"/>
                <w:szCs w:val="22"/>
              </w:rPr>
            </w:pPr>
            <w:r w:rsidRPr="006D5C17">
              <w:rPr>
                <w:sz w:val="18"/>
                <w:szCs w:val="22"/>
              </w:rPr>
              <w:t>Quality data cleaning, analysis and Survey report preparation</w:t>
            </w:r>
          </w:p>
        </w:tc>
        <w:tc>
          <w:tcPr>
            <w:tcW w:w="309" w:type="pct"/>
            <w:shd w:val="clear" w:color="auto" w:fill="auto"/>
            <w:vAlign w:val="center"/>
          </w:tcPr>
          <w:p w14:paraId="3C718C33"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6B1C4E73"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37FA8E62" w14:textId="77777777" w:rsidR="00C615E9" w:rsidRPr="006D5C17" w:rsidRDefault="00C615E9" w:rsidP="00AA1312">
            <w:pPr>
              <w:pStyle w:val="NormalWeb"/>
              <w:spacing w:before="0" w:beforeAutospacing="0" w:after="0" w:afterAutospacing="0"/>
              <w:rPr>
                <w:sz w:val="16"/>
                <w:szCs w:val="20"/>
              </w:rPr>
            </w:pPr>
          </w:p>
        </w:tc>
        <w:tc>
          <w:tcPr>
            <w:tcW w:w="413" w:type="pct"/>
          </w:tcPr>
          <w:p w14:paraId="22352224"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6B6B7F11" w14:textId="77777777" w:rsidR="00C615E9" w:rsidRPr="006D5C17" w:rsidRDefault="00C615E9" w:rsidP="00AA1312">
            <w:pPr>
              <w:pStyle w:val="NormalWeb"/>
              <w:spacing w:before="0" w:beforeAutospacing="0" w:after="0" w:afterAutospacing="0"/>
              <w:rPr>
                <w:sz w:val="16"/>
                <w:szCs w:val="20"/>
              </w:rPr>
            </w:pPr>
          </w:p>
        </w:tc>
        <w:tc>
          <w:tcPr>
            <w:tcW w:w="413" w:type="pct"/>
          </w:tcPr>
          <w:p w14:paraId="15F68DAA" w14:textId="6F0729AB" w:rsidR="00C615E9" w:rsidRPr="006D5C17" w:rsidRDefault="00C615E9" w:rsidP="00AA1312">
            <w:pPr>
              <w:pStyle w:val="NormalWeb"/>
              <w:spacing w:before="0" w:beforeAutospacing="0" w:after="0" w:afterAutospacing="0"/>
              <w:rPr>
                <w:sz w:val="16"/>
                <w:szCs w:val="20"/>
              </w:rPr>
            </w:pPr>
          </w:p>
        </w:tc>
        <w:tc>
          <w:tcPr>
            <w:tcW w:w="414" w:type="pct"/>
          </w:tcPr>
          <w:p w14:paraId="2EA5682F" w14:textId="77777777" w:rsidR="00C615E9" w:rsidRPr="006D5C17" w:rsidRDefault="00C615E9" w:rsidP="00AA1312">
            <w:pPr>
              <w:pStyle w:val="NormalWeb"/>
              <w:spacing w:before="0" w:beforeAutospacing="0" w:after="0" w:afterAutospacing="0"/>
              <w:rPr>
                <w:sz w:val="16"/>
                <w:szCs w:val="20"/>
              </w:rPr>
            </w:pPr>
          </w:p>
        </w:tc>
        <w:tc>
          <w:tcPr>
            <w:tcW w:w="419" w:type="pct"/>
          </w:tcPr>
          <w:p w14:paraId="5B87A0E1" w14:textId="77777777" w:rsidR="00C615E9" w:rsidRPr="006D5C17" w:rsidRDefault="00C615E9" w:rsidP="00AA1312">
            <w:pPr>
              <w:pStyle w:val="NormalWeb"/>
              <w:spacing w:before="0" w:beforeAutospacing="0" w:after="0" w:afterAutospacing="0"/>
              <w:rPr>
                <w:sz w:val="16"/>
                <w:szCs w:val="20"/>
              </w:rPr>
            </w:pPr>
          </w:p>
        </w:tc>
        <w:tc>
          <w:tcPr>
            <w:tcW w:w="301" w:type="pct"/>
          </w:tcPr>
          <w:p w14:paraId="0436267E" w14:textId="3DF7558B" w:rsidR="00C615E9" w:rsidRPr="006D5C17" w:rsidRDefault="00C615E9" w:rsidP="00AA1312">
            <w:pPr>
              <w:pStyle w:val="NormalWeb"/>
              <w:spacing w:before="0" w:beforeAutospacing="0" w:after="0" w:afterAutospacing="0"/>
              <w:rPr>
                <w:sz w:val="16"/>
                <w:szCs w:val="20"/>
              </w:rPr>
            </w:pPr>
          </w:p>
        </w:tc>
        <w:tc>
          <w:tcPr>
            <w:tcW w:w="310" w:type="pct"/>
          </w:tcPr>
          <w:p w14:paraId="1274661B" w14:textId="0FAEDBC9" w:rsidR="00C615E9" w:rsidRPr="006D5C17" w:rsidRDefault="00C615E9" w:rsidP="00AA1312">
            <w:pPr>
              <w:pStyle w:val="NormalWeb"/>
              <w:spacing w:before="0" w:beforeAutospacing="0" w:after="0" w:afterAutospacing="0"/>
              <w:rPr>
                <w:sz w:val="16"/>
                <w:szCs w:val="20"/>
              </w:rPr>
            </w:pPr>
            <w:r w:rsidRPr="006D5C17">
              <w:rPr>
                <w:sz w:val="16"/>
                <w:szCs w:val="20"/>
              </w:rPr>
              <w:t>KTM</w:t>
            </w:r>
          </w:p>
        </w:tc>
        <w:tc>
          <w:tcPr>
            <w:tcW w:w="318" w:type="pct"/>
          </w:tcPr>
          <w:p w14:paraId="3B70D55B" w14:textId="77777777" w:rsidR="00C615E9" w:rsidRPr="006D5C17" w:rsidRDefault="00C615E9" w:rsidP="00AA1312">
            <w:pPr>
              <w:pStyle w:val="NormalWeb"/>
              <w:spacing w:before="0" w:beforeAutospacing="0" w:after="0" w:afterAutospacing="0"/>
              <w:rPr>
                <w:sz w:val="16"/>
                <w:szCs w:val="20"/>
              </w:rPr>
            </w:pPr>
          </w:p>
        </w:tc>
        <w:tc>
          <w:tcPr>
            <w:tcW w:w="309" w:type="pct"/>
          </w:tcPr>
          <w:p w14:paraId="72B5DF05" w14:textId="77777777" w:rsidR="00C615E9" w:rsidRPr="006D5C17" w:rsidRDefault="00C615E9" w:rsidP="00AA1312">
            <w:pPr>
              <w:pStyle w:val="NormalWeb"/>
              <w:spacing w:before="0" w:beforeAutospacing="0" w:after="0" w:afterAutospacing="0"/>
              <w:rPr>
                <w:sz w:val="16"/>
                <w:szCs w:val="20"/>
              </w:rPr>
            </w:pPr>
          </w:p>
        </w:tc>
      </w:tr>
      <w:tr w:rsidR="00C615E9" w:rsidRPr="006D5C17" w14:paraId="115C379C" w14:textId="4639B049" w:rsidTr="00C615E9">
        <w:trPr>
          <w:trHeight w:val="350"/>
        </w:trPr>
        <w:tc>
          <w:tcPr>
            <w:tcW w:w="761" w:type="pct"/>
            <w:shd w:val="clear" w:color="auto" w:fill="auto"/>
            <w:vAlign w:val="center"/>
          </w:tcPr>
          <w:p w14:paraId="3816DF24" w14:textId="77777777" w:rsidR="00C615E9" w:rsidRPr="006D5C17" w:rsidRDefault="00C615E9" w:rsidP="00AA1312">
            <w:pPr>
              <w:pStyle w:val="NormalWeb"/>
              <w:spacing w:before="0" w:beforeAutospacing="0" w:after="0" w:afterAutospacing="0"/>
              <w:rPr>
                <w:sz w:val="18"/>
                <w:szCs w:val="22"/>
              </w:rPr>
            </w:pPr>
            <w:r w:rsidRPr="006D5C17">
              <w:rPr>
                <w:sz w:val="18"/>
                <w:szCs w:val="22"/>
              </w:rPr>
              <w:t>Final Report Submission</w:t>
            </w:r>
          </w:p>
        </w:tc>
        <w:tc>
          <w:tcPr>
            <w:tcW w:w="309" w:type="pct"/>
            <w:shd w:val="clear" w:color="auto" w:fill="auto"/>
            <w:vAlign w:val="center"/>
          </w:tcPr>
          <w:p w14:paraId="607B400B"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7354C946"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16BA761F" w14:textId="77777777" w:rsidR="00C615E9" w:rsidRPr="006D5C17" w:rsidRDefault="00C615E9" w:rsidP="00AA1312">
            <w:pPr>
              <w:pStyle w:val="NormalWeb"/>
              <w:spacing w:before="0" w:beforeAutospacing="0" w:after="0" w:afterAutospacing="0"/>
              <w:rPr>
                <w:sz w:val="16"/>
                <w:szCs w:val="20"/>
              </w:rPr>
            </w:pPr>
          </w:p>
        </w:tc>
        <w:tc>
          <w:tcPr>
            <w:tcW w:w="413" w:type="pct"/>
          </w:tcPr>
          <w:p w14:paraId="0A524820"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11A5A455" w14:textId="77777777" w:rsidR="00C615E9" w:rsidRPr="006D5C17" w:rsidRDefault="00C615E9" w:rsidP="00AA1312">
            <w:pPr>
              <w:pStyle w:val="NormalWeb"/>
              <w:spacing w:before="0" w:beforeAutospacing="0" w:after="0" w:afterAutospacing="0"/>
              <w:rPr>
                <w:sz w:val="16"/>
                <w:szCs w:val="20"/>
              </w:rPr>
            </w:pPr>
          </w:p>
        </w:tc>
        <w:tc>
          <w:tcPr>
            <w:tcW w:w="413" w:type="pct"/>
          </w:tcPr>
          <w:p w14:paraId="1A9E06E8" w14:textId="77777777" w:rsidR="00C615E9" w:rsidRPr="006D5C17" w:rsidRDefault="00C615E9" w:rsidP="00AA1312">
            <w:pPr>
              <w:pStyle w:val="NormalWeb"/>
              <w:spacing w:before="0" w:beforeAutospacing="0" w:after="0" w:afterAutospacing="0"/>
              <w:rPr>
                <w:sz w:val="16"/>
                <w:szCs w:val="20"/>
              </w:rPr>
            </w:pPr>
          </w:p>
        </w:tc>
        <w:tc>
          <w:tcPr>
            <w:tcW w:w="414" w:type="pct"/>
            <w:vAlign w:val="center"/>
          </w:tcPr>
          <w:p w14:paraId="3B7BA455" w14:textId="241A9C8F" w:rsidR="00C615E9" w:rsidRPr="006D5C17" w:rsidRDefault="00C615E9" w:rsidP="00A30E59">
            <w:pPr>
              <w:pStyle w:val="NormalWeb"/>
              <w:spacing w:before="0" w:beforeAutospacing="0" w:after="0" w:afterAutospacing="0"/>
              <w:rPr>
                <w:sz w:val="16"/>
                <w:szCs w:val="20"/>
              </w:rPr>
            </w:pPr>
          </w:p>
        </w:tc>
        <w:tc>
          <w:tcPr>
            <w:tcW w:w="419" w:type="pct"/>
          </w:tcPr>
          <w:p w14:paraId="461BAAD0" w14:textId="77777777" w:rsidR="00C615E9" w:rsidRPr="006D5C17" w:rsidRDefault="00C615E9" w:rsidP="00A30E59">
            <w:pPr>
              <w:pStyle w:val="NormalWeb"/>
              <w:spacing w:before="0" w:beforeAutospacing="0" w:after="0" w:afterAutospacing="0"/>
              <w:rPr>
                <w:sz w:val="16"/>
                <w:szCs w:val="20"/>
              </w:rPr>
            </w:pPr>
          </w:p>
        </w:tc>
        <w:tc>
          <w:tcPr>
            <w:tcW w:w="301" w:type="pct"/>
          </w:tcPr>
          <w:p w14:paraId="49563361" w14:textId="77777777" w:rsidR="00C615E9" w:rsidRPr="006D5C17" w:rsidRDefault="00C615E9" w:rsidP="00A30E59">
            <w:pPr>
              <w:pStyle w:val="NormalWeb"/>
              <w:spacing w:before="0" w:beforeAutospacing="0" w:after="0" w:afterAutospacing="0"/>
              <w:rPr>
                <w:sz w:val="16"/>
                <w:szCs w:val="20"/>
              </w:rPr>
            </w:pPr>
          </w:p>
        </w:tc>
        <w:tc>
          <w:tcPr>
            <w:tcW w:w="310" w:type="pct"/>
          </w:tcPr>
          <w:p w14:paraId="75DF9CAB" w14:textId="77777777" w:rsidR="00C615E9" w:rsidRPr="006D5C17" w:rsidRDefault="00C615E9" w:rsidP="00A30E59">
            <w:pPr>
              <w:pStyle w:val="NormalWeb"/>
              <w:spacing w:before="0" w:beforeAutospacing="0" w:after="0" w:afterAutospacing="0"/>
              <w:rPr>
                <w:sz w:val="16"/>
                <w:szCs w:val="20"/>
              </w:rPr>
            </w:pPr>
          </w:p>
        </w:tc>
        <w:tc>
          <w:tcPr>
            <w:tcW w:w="318" w:type="pct"/>
          </w:tcPr>
          <w:p w14:paraId="2E2CC8E5" w14:textId="2BF4D465" w:rsidR="00C615E9" w:rsidRPr="006D5C17" w:rsidRDefault="00C615E9" w:rsidP="00A30E59">
            <w:pPr>
              <w:pStyle w:val="NormalWeb"/>
              <w:spacing w:before="0" w:beforeAutospacing="0" w:after="0" w:afterAutospacing="0"/>
              <w:rPr>
                <w:sz w:val="16"/>
                <w:szCs w:val="20"/>
              </w:rPr>
            </w:pPr>
            <w:r w:rsidRPr="006D5C17">
              <w:rPr>
                <w:sz w:val="16"/>
                <w:szCs w:val="20"/>
              </w:rPr>
              <w:t>KTM</w:t>
            </w:r>
          </w:p>
        </w:tc>
        <w:tc>
          <w:tcPr>
            <w:tcW w:w="309" w:type="pct"/>
          </w:tcPr>
          <w:p w14:paraId="0723D402" w14:textId="77777777" w:rsidR="00C615E9" w:rsidRPr="006D5C17" w:rsidRDefault="00C615E9" w:rsidP="00A30E59">
            <w:pPr>
              <w:pStyle w:val="NormalWeb"/>
              <w:spacing w:before="0" w:beforeAutospacing="0" w:after="0" w:afterAutospacing="0"/>
              <w:rPr>
                <w:sz w:val="16"/>
                <w:szCs w:val="20"/>
              </w:rPr>
            </w:pPr>
          </w:p>
        </w:tc>
      </w:tr>
      <w:tr w:rsidR="00C615E9" w:rsidRPr="006D5C17" w14:paraId="5111D25D" w14:textId="048909E7" w:rsidTr="00C615E9">
        <w:trPr>
          <w:trHeight w:val="260"/>
        </w:trPr>
        <w:tc>
          <w:tcPr>
            <w:tcW w:w="761" w:type="pct"/>
            <w:shd w:val="clear" w:color="auto" w:fill="auto"/>
            <w:vAlign w:val="center"/>
          </w:tcPr>
          <w:p w14:paraId="19CE1046" w14:textId="77777777" w:rsidR="00C615E9" w:rsidRPr="006D5C17" w:rsidRDefault="00C615E9" w:rsidP="00AA1312">
            <w:pPr>
              <w:pStyle w:val="NormalWeb"/>
              <w:spacing w:before="0" w:beforeAutospacing="0" w:after="0" w:afterAutospacing="0"/>
              <w:rPr>
                <w:sz w:val="18"/>
                <w:szCs w:val="22"/>
              </w:rPr>
            </w:pPr>
            <w:r w:rsidRPr="006D5C17">
              <w:rPr>
                <w:sz w:val="18"/>
                <w:szCs w:val="22"/>
              </w:rPr>
              <w:t>Dissemination and feedback</w:t>
            </w:r>
          </w:p>
        </w:tc>
        <w:tc>
          <w:tcPr>
            <w:tcW w:w="309" w:type="pct"/>
            <w:shd w:val="clear" w:color="auto" w:fill="auto"/>
            <w:vAlign w:val="center"/>
          </w:tcPr>
          <w:p w14:paraId="1153148A"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3B47B412" w14:textId="77777777" w:rsidR="00C615E9" w:rsidRPr="006D5C17" w:rsidRDefault="00C615E9" w:rsidP="00AA1312">
            <w:pPr>
              <w:pStyle w:val="NormalWeb"/>
              <w:spacing w:before="0" w:beforeAutospacing="0" w:after="0" w:afterAutospacing="0"/>
              <w:rPr>
                <w:sz w:val="16"/>
                <w:szCs w:val="20"/>
              </w:rPr>
            </w:pPr>
          </w:p>
        </w:tc>
        <w:tc>
          <w:tcPr>
            <w:tcW w:w="309" w:type="pct"/>
            <w:shd w:val="clear" w:color="auto" w:fill="auto"/>
            <w:noWrap/>
            <w:vAlign w:val="center"/>
          </w:tcPr>
          <w:p w14:paraId="48D3EA62" w14:textId="77777777" w:rsidR="00C615E9" w:rsidRPr="006D5C17" w:rsidRDefault="00C615E9" w:rsidP="00AA1312">
            <w:pPr>
              <w:pStyle w:val="NormalWeb"/>
              <w:spacing w:before="0" w:beforeAutospacing="0" w:after="0" w:afterAutospacing="0"/>
              <w:rPr>
                <w:sz w:val="16"/>
                <w:szCs w:val="20"/>
              </w:rPr>
            </w:pPr>
          </w:p>
        </w:tc>
        <w:tc>
          <w:tcPr>
            <w:tcW w:w="413" w:type="pct"/>
          </w:tcPr>
          <w:p w14:paraId="04D39543" w14:textId="77777777" w:rsidR="00C615E9" w:rsidRPr="006D5C17" w:rsidRDefault="00C615E9" w:rsidP="00AA1312">
            <w:pPr>
              <w:pStyle w:val="NormalWeb"/>
              <w:spacing w:before="0" w:beforeAutospacing="0" w:after="0" w:afterAutospacing="0"/>
              <w:rPr>
                <w:sz w:val="16"/>
                <w:szCs w:val="20"/>
              </w:rPr>
            </w:pPr>
          </w:p>
        </w:tc>
        <w:tc>
          <w:tcPr>
            <w:tcW w:w="413" w:type="pct"/>
            <w:shd w:val="clear" w:color="auto" w:fill="auto"/>
            <w:noWrap/>
            <w:vAlign w:val="center"/>
          </w:tcPr>
          <w:p w14:paraId="4411CEC8" w14:textId="77777777" w:rsidR="00C615E9" w:rsidRPr="006D5C17" w:rsidRDefault="00C615E9" w:rsidP="00AA1312">
            <w:pPr>
              <w:pStyle w:val="NormalWeb"/>
              <w:spacing w:before="0" w:beforeAutospacing="0" w:after="0" w:afterAutospacing="0"/>
              <w:rPr>
                <w:sz w:val="16"/>
                <w:szCs w:val="20"/>
              </w:rPr>
            </w:pPr>
          </w:p>
        </w:tc>
        <w:tc>
          <w:tcPr>
            <w:tcW w:w="413" w:type="pct"/>
          </w:tcPr>
          <w:p w14:paraId="7A36A545" w14:textId="77777777" w:rsidR="00C615E9" w:rsidRPr="006D5C17" w:rsidRDefault="00C615E9" w:rsidP="00AA1312">
            <w:pPr>
              <w:pStyle w:val="NormalWeb"/>
              <w:spacing w:before="0" w:beforeAutospacing="0" w:after="0" w:afterAutospacing="0"/>
              <w:rPr>
                <w:sz w:val="16"/>
                <w:szCs w:val="20"/>
              </w:rPr>
            </w:pPr>
          </w:p>
        </w:tc>
        <w:tc>
          <w:tcPr>
            <w:tcW w:w="414" w:type="pct"/>
            <w:vAlign w:val="center"/>
          </w:tcPr>
          <w:p w14:paraId="1D6F475F" w14:textId="06651D02" w:rsidR="00C615E9" w:rsidRPr="006D5C17" w:rsidRDefault="00C615E9" w:rsidP="00A30E59">
            <w:pPr>
              <w:pStyle w:val="NormalWeb"/>
              <w:spacing w:before="0" w:beforeAutospacing="0" w:after="0" w:afterAutospacing="0"/>
              <w:rPr>
                <w:sz w:val="16"/>
                <w:szCs w:val="20"/>
              </w:rPr>
            </w:pPr>
          </w:p>
        </w:tc>
        <w:tc>
          <w:tcPr>
            <w:tcW w:w="419" w:type="pct"/>
          </w:tcPr>
          <w:p w14:paraId="516E87F3" w14:textId="77777777" w:rsidR="00C615E9" w:rsidRPr="006D5C17" w:rsidRDefault="00C615E9" w:rsidP="00A30E59">
            <w:pPr>
              <w:pStyle w:val="NormalWeb"/>
              <w:spacing w:before="0" w:beforeAutospacing="0" w:after="0" w:afterAutospacing="0"/>
              <w:rPr>
                <w:sz w:val="16"/>
                <w:szCs w:val="20"/>
              </w:rPr>
            </w:pPr>
          </w:p>
        </w:tc>
        <w:tc>
          <w:tcPr>
            <w:tcW w:w="301" w:type="pct"/>
          </w:tcPr>
          <w:p w14:paraId="478E8F85" w14:textId="77777777" w:rsidR="00C615E9" w:rsidRPr="006D5C17" w:rsidRDefault="00C615E9" w:rsidP="00A30E59">
            <w:pPr>
              <w:pStyle w:val="NormalWeb"/>
              <w:spacing w:before="0" w:beforeAutospacing="0" w:after="0" w:afterAutospacing="0"/>
              <w:rPr>
                <w:sz w:val="16"/>
                <w:szCs w:val="20"/>
              </w:rPr>
            </w:pPr>
          </w:p>
        </w:tc>
        <w:tc>
          <w:tcPr>
            <w:tcW w:w="310" w:type="pct"/>
          </w:tcPr>
          <w:p w14:paraId="388835F4" w14:textId="77777777" w:rsidR="00C615E9" w:rsidRPr="006D5C17" w:rsidRDefault="00C615E9" w:rsidP="00A30E59">
            <w:pPr>
              <w:pStyle w:val="NormalWeb"/>
              <w:spacing w:before="0" w:beforeAutospacing="0" w:after="0" w:afterAutospacing="0"/>
              <w:rPr>
                <w:sz w:val="16"/>
                <w:szCs w:val="20"/>
              </w:rPr>
            </w:pPr>
          </w:p>
        </w:tc>
        <w:tc>
          <w:tcPr>
            <w:tcW w:w="318" w:type="pct"/>
          </w:tcPr>
          <w:p w14:paraId="184D86BD" w14:textId="77777777" w:rsidR="00C615E9" w:rsidRPr="006D5C17" w:rsidRDefault="00C615E9" w:rsidP="00A30E59">
            <w:pPr>
              <w:pStyle w:val="NormalWeb"/>
              <w:spacing w:before="0" w:beforeAutospacing="0" w:after="0" w:afterAutospacing="0"/>
              <w:rPr>
                <w:sz w:val="16"/>
                <w:szCs w:val="20"/>
              </w:rPr>
            </w:pPr>
          </w:p>
        </w:tc>
        <w:tc>
          <w:tcPr>
            <w:tcW w:w="309" w:type="pct"/>
          </w:tcPr>
          <w:p w14:paraId="7136AD64" w14:textId="70167D36" w:rsidR="00C615E9" w:rsidRPr="006D5C17" w:rsidRDefault="00C615E9" w:rsidP="00A30E59">
            <w:pPr>
              <w:pStyle w:val="NormalWeb"/>
              <w:spacing w:before="0" w:beforeAutospacing="0" w:after="0" w:afterAutospacing="0"/>
              <w:rPr>
                <w:sz w:val="16"/>
                <w:szCs w:val="20"/>
              </w:rPr>
            </w:pPr>
            <w:r w:rsidRPr="006D5C17">
              <w:rPr>
                <w:sz w:val="16"/>
                <w:szCs w:val="20"/>
              </w:rPr>
              <w:t>KTM</w:t>
            </w:r>
          </w:p>
        </w:tc>
      </w:tr>
    </w:tbl>
    <w:p w14:paraId="33C0253C" w14:textId="77777777" w:rsidR="00472DB2" w:rsidRPr="008601EE" w:rsidRDefault="00472DB2" w:rsidP="00472DB2">
      <w:pPr>
        <w:pStyle w:val="Heading1"/>
        <w:spacing w:after="0"/>
        <w:jc w:val="both"/>
        <w:rPr>
          <w:rFonts w:ascii="Times New Roman" w:hAnsi="Times New Roman"/>
          <w:color w:val="3399FF"/>
          <w:sz w:val="24"/>
          <w:szCs w:val="24"/>
          <w:lang w:val="en-GB"/>
        </w:rPr>
      </w:pPr>
    </w:p>
    <w:p w14:paraId="6D613467" w14:textId="671FAC85" w:rsidR="00472DB2" w:rsidRPr="004216E0" w:rsidRDefault="00472DB2" w:rsidP="00F27183">
      <w:pPr>
        <w:pStyle w:val="Heading1"/>
        <w:numPr>
          <w:ilvl w:val="0"/>
          <w:numId w:val="11"/>
        </w:numPr>
        <w:spacing w:after="0"/>
        <w:jc w:val="both"/>
        <w:rPr>
          <w:rFonts w:ascii="Times New Roman" w:hAnsi="Times New Roman"/>
          <w:sz w:val="22"/>
          <w:szCs w:val="22"/>
          <w:u w:val="single"/>
          <w:lang w:val="en-GB"/>
        </w:rPr>
      </w:pPr>
      <w:r w:rsidRPr="004216E0">
        <w:rPr>
          <w:rFonts w:ascii="Times New Roman" w:hAnsi="Times New Roman"/>
          <w:sz w:val="22"/>
          <w:szCs w:val="22"/>
          <w:u w:val="single"/>
          <w:lang w:val="en-GB"/>
        </w:rPr>
        <w:t>SuRVEY BUDGET</w:t>
      </w:r>
      <w:r w:rsidR="005D0646">
        <w:rPr>
          <w:rFonts w:ascii="Times New Roman" w:hAnsi="Times New Roman"/>
          <w:b w:val="0"/>
          <w:sz w:val="22"/>
          <w:szCs w:val="22"/>
          <w:lang w:val="en-GB"/>
        </w:rPr>
        <w:t xml:space="preserve">  </w:t>
      </w:r>
      <w:r w:rsidR="005D0646" w:rsidRPr="005D0646">
        <w:rPr>
          <w:rFonts w:ascii="Times New Roman" w:hAnsi="Times New Roman"/>
          <w:bCs/>
          <w:kern w:val="32"/>
          <w:sz w:val="22"/>
          <w:szCs w:val="22"/>
          <w:highlight w:val="yellow"/>
        </w:rPr>
        <w:t>(Update based on survey)</w:t>
      </w:r>
    </w:p>
    <w:p w14:paraId="452449CE" w14:textId="77777777" w:rsidR="00F27183" w:rsidRPr="00525C86" w:rsidRDefault="00F27183" w:rsidP="00472DB2">
      <w:pPr>
        <w:jc w:val="both"/>
        <w:rPr>
          <w:rFonts w:ascii="Times New Roman" w:hAnsi="Times New Roman" w:cs="Times New Roman"/>
          <w:bCs/>
        </w:rPr>
      </w:pPr>
    </w:p>
    <w:p w14:paraId="1C303D61" w14:textId="311D29BE" w:rsidR="00D83888" w:rsidRDefault="00472DB2" w:rsidP="008247D5">
      <w:pPr>
        <w:spacing w:after="0"/>
        <w:rPr>
          <w:rFonts w:ascii="Times New Roman" w:hAnsi="Times New Roman" w:cs="Times New Roman"/>
          <w:b/>
          <w:bCs/>
        </w:rPr>
      </w:pPr>
      <w:r w:rsidRPr="00D83888">
        <w:rPr>
          <w:rFonts w:ascii="Times New Roman" w:hAnsi="Times New Roman" w:cs="Times New Roman"/>
          <w:bCs/>
        </w:rPr>
        <w:t xml:space="preserve">The survey will be funded by UNICEF Country Office Kathmandu.  </w:t>
      </w:r>
      <w:r w:rsidRPr="00D83888">
        <w:rPr>
          <w:rFonts w:ascii="Times New Roman" w:hAnsi="Times New Roman" w:cs="Times New Roman"/>
        </w:rPr>
        <w:t xml:space="preserve">Program Component Result- </w:t>
      </w:r>
      <w:r w:rsidR="006D5C17">
        <w:rPr>
          <w:rFonts w:ascii="Times New Roman" w:hAnsi="Times New Roman" w:cs="Times New Roman"/>
        </w:rPr>
        <w:t>1 and PCR 3</w:t>
      </w:r>
      <w:r w:rsidRPr="00D83888">
        <w:rPr>
          <w:rFonts w:ascii="Times New Roman" w:hAnsi="Times New Roman" w:cs="Times New Roman"/>
        </w:rPr>
        <w:t xml:space="preserve">, Intermediate Result- 3, </w:t>
      </w:r>
      <w:r w:rsidR="006D5C17">
        <w:rPr>
          <w:rFonts w:ascii="Times New Roman" w:hAnsi="Times New Roman" w:cs="Times New Roman"/>
        </w:rPr>
        <w:t xml:space="preserve">from the upcoming USAID funds </w:t>
      </w:r>
      <w:r w:rsidR="008601EE" w:rsidRPr="00D83888">
        <w:rPr>
          <w:rFonts w:ascii="Times New Roman" w:hAnsi="Times New Roman" w:cs="Times New Roman"/>
        </w:rPr>
        <w:t xml:space="preserve">and the </w:t>
      </w:r>
      <w:r w:rsidR="006D5C17">
        <w:rPr>
          <w:rFonts w:ascii="Times New Roman" w:hAnsi="Times New Roman" w:cs="Times New Roman"/>
        </w:rPr>
        <w:t>EU</w:t>
      </w:r>
      <w:r w:rsidR="008601EE" w:rsidRPr="00D83888">
        <w:rPr>
          <w:rFonts w:ascii="Times New Roman" w:hAnsi="Times New Roman" w:cs="Times New Roman"/>
        </w:rPr>
        <w:t xml:space="preserve"> funds </w:t>
      </w:r>
      <w:r w:rsidR="007C1E12">
        <w:rPr>
          <w:rFonts w:ascii="Times New Roman" w:hAnsi="Times New Roman" w:cs="Times New Roman"/>
        </w:rPr>
        <w:t xml:space="preserve">expected in </w:t>
      </w:r>
      <w:r w:rsidR="006D5C17">
        <w:rPr>
          <w:rFonts w:ascii="Times New Roman" w:hAnsi="Times New Roman" w:cs="Times New Roman"/>
        </w:rPr>
        <w:t>2015</w:t>
      </w:r>
      <w:r w:rsidR="00D83888" w:rsidRPr="00D83888">
        <w:rPr>
          <w:rFonts w:ascii="Times New Roman" w:hAnsi="Times New Roman" w:cs="Times New Roman"/>
        </w:rPr>
        <w:br/>
      </w:r>
    </w:p>
    <w:p w14:paraId="01AF680A" w14:textId="5F08FE67" w:rsidR="00D83888" w:rsidRPr="00D83888" w:rsidRDefault="00D83888" w:rsidP="00D83888">
      <w:pPr>
        <w:spacing w:after="0"/>
        <w:jc w:val="both"/>
        <w:rPr>
          <w:rFonts w:ascii="Times New Roman" w:hAnsi="Times New Roman" w:cs="Times New Roman"/>
          <w:b/>
          <w:bCs/>
        </w:rPr>
      </w:pPr>
      <w:r w:rsidRPr="00D83888">
        <w:rPr>
          <w:rFonts w:ascii="Times New Roman" w:hAnsi="Times New Roman" w:cs="Times New Roman"/>
          <w:b/>
          <w:bCs/>
        </w:rPr>
        <w:t>Total Project budget</w:t>
      </w:r>
      <w:r w:rsidRPr="00D83888">
        <w:rPr>
          <w:rFonts w:ascii="Times New Roman" w:hAnsi="Times New Roman" w:cs="Times New Roman"/>
          <w:b/>
          <w:bCs/>
        </w:rPr>
        <w:tab/>
      </w:r>
      <w:r w:rsidRPr="00D83888">
        <w:rPr>
          <w:rFonts w:ascii="Times New Roman" w:hAnsi="Times New Roman" w:cs="Times New Roman"/>
          <w:b/>
          <w:bCs/>
        </w:rPr>
        <w:tab/>
      </w:r>
      <w:r w:rsidRPr="00D83888">
        <w:rPr>
          <w:rFonts w:ascii="Times New Roman" w:hAnsi="Times New Roman" w:cs="Times New Roman"/>
          <w:b/>
          <w:bCs/>
        </w:rPr>
        <w:tab/>
      </w:r>
      <w:r w:rsidRPr="00D83888">
        <w:rPr>
          <w:rFonts w:ascii="Times New Roman" w:hAnsi="Times New Roman" w:cs="Times New Roman"/>
          <w:b/>
          <w:bCs/>
        </w:rPr>
        <w:tab/>
        <w:t xml:space="preserve">$ </w:t>
      </w:r>
      <w:r w:rsidR="00E86A7C" w:rsidRPr="00E86A7C">
        <w:rPr>
          <w:rFonts w:ascii="Times New Roman" w:hAnsi="Times New Roman" w:cs="Times New Roman"/>
          <w:b/>
          <w:bCs/>
          <w:highlight w:val="yellow"/>
        </w:rPr>
        <w:t>Enter Amount Here</w:t>
      </w:r>
    </w:p>
    <w:p w14:paraId="41370B25" w14:textId="4C43C5D3" w:rsidR="00D83888" w:rsidRPr="00D83888" w:rsidRDefault="00D83888" w:rsidP="00D83888">
      <w:pPr>
        <w:spacing w:after="0" w:line="240" w:lineRule="auto"/>
        <w:jc w:val="both"/>
        <w:rPr>
          <w:rFonts w:ascii="Times New Roman" w:hAnsi="Times New Roman" w:cs="Times New Roman"/>
        </w:rPr>
      </w:pPr>
      <w:r w:rsidRPr="00D83888">
        <w:rPr>
          <w:rFonts w:ascii="Times New Roman" w:hAnsi="Times New Roman" w:cs="Times New Roman"/>
          <w:b/>
          <w:bCs/>
        </w:rPr>
        <w:t>Donor(s)/ funding sources</w:t>
      </w:r>
      <w:r w:rsidRPr="00D83888">
        <w:rPr>
          <w:rFonts w:ascii="Times New Roman" w:hAnsi="Times New Roman" w:cs="Times New Roman"/>
          <w:b/>
          <w:bCs/>
        </w:rPr>
        <w:tab/>
      </w:r>
      <w:r w:rsidRPr="00D83888">
        <w:rPr>
          <w:rFonts w:ascii="Times New Roman" w:hAnsi="Times New Roman" w:cs="Times New Roman"/>
          <w:b/>
          <w:bCs/>
        </w:rPr>
        <w:tab/>
      </w:r>
      <w:r w:rsidRPr="00D83888">
        <w:rPr>
          <w:rFonts w:ascii="Times New Roman" w:hAnsi="Times New Roman" w:cs="Times New Roman"/>
          <w:b/>
          <w:bCs/>
        </w:rPr>
        <w:tab/>
      </w:r>
      <w:r w:rsidR="00E86A7C" w:rsidRPr="00E86A7C">
        <w:rPr>
          <w:rFonts w:ascii="Times New Roman" w:hAnsi="Times New Roman" w:cs="Times New Roman"/>
          <w:b/>
          <w:bCs/>
          <w:highlight w:val="yellow"/>
        </w:rPr>
        <w:t>Enter Here</w:t>
      </w:r>
    </w:p>
    <w:p w14:paraId="77B3572B" w14:textId="48452B21" w:rsidR="00D83888" w:rsidRPr="00E86A7C" w:rsidRDefault="00D83888" w:rsidP="00D83888">
      <w:pPr>
        <w:spacing w:after="0" w:line="240" w:lineRule="auto"/>
        <w:jc w:val="both"/>
        <w:rPr>
          <w:rFonts w:ascii="Times New Roman" w:hAnsi="Times New Roman" w:cs="Times New Roman"/>
          <w:b/>
          <w:bCs/>
        </w:rPr>
      </w:pPr>
      <w:r w:rsidRPr="00D83888">
        <w:rPr>
          <w:rFonts w:ascii="Times New Roman" w:hAnsi="Times New Roman" w:cs="Times New Roman"/>
          <w:b/>
          <w:bCs/>
        </w:rPr>
        <w:t xml:space="preserve">Duration of contract </w:t>
      </w:r>
      <w:r w:rsidRPr="00D83888">
        <w:rPr>
          <w:rFonts w:ascii="Times New Roman" w:hAnsi="Times New Roman" w:cs="Times New Roman"/>
          <w:b/>
          <w:bCs/>
        </w:rPr>
        <w:tab/>
      </w:r>
      <w:r w:rsidRPr="00D83888">
        <w:rPr>
          <w:rFonts w:ascii="Times New Roman" w:hAnsi="Times New Roman" w:cs="Times New Roman"/>
          <w:b/>
          <w:bCs/>
        </w:rPr>
        <w:tab/>
      </w:r>
      <w:r w:rsidRPr="00D83888">
        <w:rPr>
          <w:rFonts w:ascii="Times New Roman" w:hAnsi="Times New Roman" w:cs="Times New Roman"/>
          <w:b/>
          <w:bCs/>
        </w:rPr>
        <w:tab/>
      </w:r>
      <w:r w:rsidRPr="00D83888">
        <w:rPr>
          <w:rFonts w:ascii="Times New Roman" w:hAnsi="Times New Roman" w:cs="Times New Roman"/>
          <w:b/>
          <w:bCs/>
        </w:rPr>
        <w:tab/>
      </w:r>
      <w:r w:rsidRPr="00E86A7C">
        <w:rPr>
          <w:rFonts w:ascii="Times New Roman" w:hAnsi="Times New Roman" w:cs="Times New Roman"/>
          <w:b/>
          <w:bCs/>
        </w:rPr>
        <w:t xml:space="preserve"> </w:t>
      </w:r>
      <w:r w:rsidR="00E86A7C" w:rsidRPr="00E86A7C">
        <w:rPr>
          <w:rFonts w:ascii="Times New Roman" w:hAnsi="Times New Roman" w:cs="Times New Roman"/>
          <w:b/>
          <w:bCs/>
          <w:highlight w:val="yellow"/>
        </w:rPr>
        <w:t>XX</w:t>
      </w:r>
      <w:r w:rsidR="008247D5" w:rsidRPr="00E86A7C">
        <w:rPr>
          <w:rFonts w:ascii="Times New Roman" w:hAnsi="Times New Roman" w:cs="Times New Roman"/>
          <w:b/>
          <w:bCs/>
          <w:highlight w:val="yellow"/>
        </w:rPr>
        <w:t xml:space="preserve"> years</w:t>
      </w:r>
    </w:p>
    <w:p w14:paraId="3623FD77" w14:textId="543AA0C8" w:rsidR="00D83888" w:rsidRPr="00E86A7C" w:rsidRDefault="00D83888" w:rsidP="00D83888">
      <w:pPr>
        <w:spacing w:after="0" w:line="240" w:lineRule="auto"/>
        <w:jc w:val="both"/>
        <w:rPr>
          <w:rFonts w:ascii="Times New Roman" w:hAnsi="Times New Roman" w:cs="Times New Roman"/>
          <w:b/>
          <w:bCs/>
        </w:rPr>
      </w:pPr>
      <w:r w:rsidRPr="00E86A7C">
        <w:rPr>
          <w:rFonts w:ascii="Times New Roman" w:hAnsi="Times New Roman" w:cs="Times New Roman"/>
          <w:b/>
          <w:bCs/>
        </w:rPr>
        <w:t>Starting date</w:t>
      </w:r>
      <w:r w:rsidRPr="00E86A7C">
        <w:rPr>
          <w:rFonts w:ascii="Times New Roman" w:hAnsi="Times New Roman" w:cs="Times New Roman"/>
          <w:b/>
          <w:bCs/>
        </w:rPr>
        <w:tab/>
      </w:r>
      <w:r w:rsidRPr="00E86A7C">
        <w:rPr>
          <w:rFonts w:ascii="Times New Roman" w:hAnsi="Times New Roman" w:cs="Times New Roman"/>
          <w:b/>
          <w:bCs/>
        </w:rPr>
        <w:tab/>
      </w:r>
      <w:r w:rsidRPr="00E86A7C">
        <w:rPr>
          <w:rFonts w:ascii="Times New Roman" w:hAnsi="Times New Roman" w:cs="Times New Roman"/>
          <w:b/>
          <w:bCs/>
        </w:rPr>
        <w:tab/>
      </w:r>
      <w:r w:rsidRPr="00E86A7C">
        <w:rPr>
          <w:rFonts w:ascii="Times New Roman" w:hAnsi="Times New Roman" w:cs="Times New Roman"/>
          <w:b/>
          <w:bCs/>
        </w:rPr>
        <w:tab/>
      </w:r>
      <w:r w:rsidRPr="00E86A7C">
        <w:rPr>
          <w:rFonts w:ascii="Times New Roman" w:hAnsi="Times New Roman" w:cs="Times New Roman"/>
          <w:b/>
          <w:bCs/>
        </w:rPr>
        <w:tab/>
      </w:r>
      <w:r w:rsidR="00E86A7C" w:rsidRPr="00E86A7C">
        <w:rPr>
          <w:rFonts w:ascii="Times New Roman" w:hAnsi="Times New Roman" w:cs="Times New Roman"/>
          <w:b/>
          <w:bCs/>
          <w:highlight w:val="yellow"/>
        </w:rPr>
        <w:t>Enter Date</w:t>
      </w:r>
      <w:bookmarkStart w:id="16" w:name="_GoBack"/>
      <w:bookmarkEnd w:id="16"/>
    </w:p>
    <w:p w14:paraId="1DBF86FD" w14:textId="17B23541" w:rsidR="00D83888" w:rsidRDefault="00D83888" w:rsidP="00D83888">
      <w:pPr>
        <w:spacing w:after="0" w:line="240" w:lineRule="auto"/>
        <w:jc w:val="both"/>
        <w:rPr>
          <w:rFonts w:ascii="Times New Roman" w:hAnsi="Times New Roman" w:cs="Times New Roman"/>
          <w:bCs/>
        </w:rPr>
      </w:pPr>
      <w:r w:rsidRPr="00D83888">
        <w:rPr>
          <w:rFonts w:ascii="Times New Roman" w:hAnsi="Times New Roman" w:cs="Times New Roman"/>
          <w:b/>
          <w:bCs/>
        </w:rPr>
        <w:t>Implementing agency and partners</w:t>
      </w:r>
      <w:r w:rsidRPr="00D83888">
        <w:rPr>
          <w:rFonts w:ascii="Times New Roman" w:hAnsi="Times New Roman" w:cs="Times New Roman"/>
          <w:bCs/>
        </w:rPr>
        <w:t xml:space="preserve"> </w:t>
      </w:r>
      <w:r w:rsidRPr="00D83888">
        <w:rPr>
          <w:rFonts w:ascii="Times New Roman" w:hAnsi="Times New Roman" w:cs="Times New Roman"/>
          <w:bCs/>
        </w:rPr>
        <w:tab/>
      </w:r>
      <w:r w:rsidRPr="00D83888">
        <w:rPr>
          <w:rFonts w:ascii="Times New Roman" w:hAnsi="Times New Roman" w:cs="Times New Roman"/>
          <w:bCs/>
        </w:rPr>
        <w:tab/>
      </w:r>
      <w:r w:rsidR="00E86A7C" w:rsidRPr="00E86A7C">
        <w:rPr>
          <w:rFonts w:ascii="Times New Roman" w:hAnsi="Times New Roman" w:cs="Times New Roman"/>
          <w:b/>
          <w:bCs/>
          <w:highlight w:val="yellow"/>
        </w:rPr>
        <w:t>Enter Here</w:t>
      </w:r>
    </w:p>
    <w:p w14:paraId="57AA59B2" w14:textId="77777777" w:rsidR="004D185C" w:rsidRPr="00D83888" w:rsidRDefault="004D185C" w:rsidP="00D83888">
      <w:pPr>
        <w:spacing w:after="0" w:line="240" w:lineRule="auto"/>
        <w:jc w:val="both"/>
        <w:rPr>
          <w:rFonts w:ascii="Times New Roman" w:hAnsi="Times New Roman" w:cs="Times New Roman"/>
        </w:rPr>
      </w:pPr>
    </w:p>
    <w:p w14:paraId="3D3FEDF0" w14:textId="77777777" w:rsidR="00D83888" w:rsidRPr="00D83888" w:rsidRDefault="00D83888" w:rsidP="00D83888">
      <w:pPr>
        <w:jc w:val="both"/>
        <w:rPr>
          <w:rFonts w:ascii="Times New Roman" w:hAnsi="Times New Roman" w:cs="Times New Roman"/>
        </w:rPr>
      </w:pPr>
    </w:p>
    <w:p w14:paraId="5897D5B8" w14:textId="77777777" w:rsidR="00540395" w:rsidRPr="004216E0" w:rsidRDefault="00540395" w:rsidP="00F4052C">
      <w:pPr>
        <w:pStyle w:val="ListParagraph"/>
        <w:numPr>
          <w:ilvl w:val="0"/>
          <w:numId w:val="11"/>
        </w:numPr>
        <w:spacing w:after="200" w:line="276" w:lineRule="auto"/>
        <w:ind w:left="0" w:firstLine="0"/>
        <w:rPr>
          <w:b/>
          <w:caps/>
          <w:sz w:val="22"/>
          <w:szCs w:val="22"/>
          <w:u w:val="single"/>
        </w:rPr>
      </w:pPr>
      <w:r w:rsidRPr="004216E0">
        <w:rPr>
          <w:b/>
          <w:caps/>
          <w:sz w:val="22"/>
          <w:szCs w:val="22"/>
          <w:u w:val="single"/>
        </w:rPr>
        <w:t>Working Condition</w:t>
      </w:r>
    </w:p>
    <w:p w14:paraId="53EEE343" w14:textId="77777777" w:rsidR="00540395" w:rsidRPr="004216E0" w:rsidRDefault="00540395" w:rsidP="00F4052C">
      <w:pPr>
        <w:pStyle w:val="ListParagraph"/>
        <w:ind w:left="0"/>
        <w:rPr>
          <w:sz w:val="22"/>
          <w:szCs w:val="22"/>
        </w:rPr>
      </w:pPr>
    </w:p>
    <w:p w14:paraId="0E915F01" w14:textId="322FBB9E" w:rsidR="00540395" w:rsidRPr="008601EE" w:rsidRDefault="00540395" w:rsidP="00F4052C">
      <w:pPr>
        <w:pStyle w:val="ListParagraph"/>
        <w:ind w:left="0"/>
      </w:pPr>
      <w:r w:rsidRPr="008601EE">
        <w:t xml:space="preserve">The Selected </w:t>
      </w:r>
      <w:r w:rsidR="00B80997" w:rsidRPr="008601EE">
        <w:t xml:space="preserve">Research Institute </w:t>
      </w:r>
      <w:r w:rsidR="004D185C">
        <w:t>will un</w:t>
      </w:r>
      <w:r w:rsidR="00E86A7C">
        <w:t>der the guidance and support of (</w:t>
      </w:r>
      <w:r w:rsidR="00E86A7C" w:rsidRPr="00E86A7C">
        <w:rPr>
          <w:b/>
          <w:highlight w:val="yellow"/>
        </w:rPr>
        <w:t>Enter Parties Here</w:t>
      </w:r>
      <w:r w:rsidR="00E86A7C">
        <w:t>)</w:t>
      </w:r>
      <w:r w:rsidR="004D185C" w:rsidRPr="008601EE">
        <w:t xml:space="preserve">, </w:t>
      </w:r>
      <w:r w:rsidR="00E86A7C">
        <w:t>and in close coordination with (</w:t>
      </w:r>
      <w:r w:rsidR="00E86A7C" w:rsidRPr="00E86A7C">
        <w:rPr>
          <w:b/>
          <w:highlight w:val="yellow"/>
        </w:rPr>
        <w:t>Enter Parties Here</w:t>
      </w:r>
      <w:r w:rsidR="00E86A7C">
        <w:t>)</w:t>
      </w:r>
      <w:r w:rsidRPr="008601EE">
        <w:t>.</w:t>
      </w:r>
    </w:p>
    <w:p w14:paraId="79F65EC9" w14:textId="77777777" w:rsidR="00540395" w:rsidRPr="004216E0" w:rsidRDefault="00540395" w:rsidP="00F4052C">
      <w:pPr>
        <w:rPr>
          <w:rFonts w:ascii="Times New Roman" w:hAnsi="Times New Roman" w:cs="Times New Roman"/>
          <w:b/>
          <w:lang w:val="en-US"/>
        </w:rPr>
      </w:pPr>
    </w:p>
    <w:p w14:paraId="7B9F3269" w14:textId="77777777" w:rsidR="00540395" w:rsidRPr="004216E0" w:rsidRDefault="00540395" w:rsidP="00F4052C">
      <w:pPr>
        <w:pStyle w:val="ListParagraph"/>
        <w:numPr>
          <w:ilvl w:val="0"/>
          <w:numId w:val="11"/>
        </w:numPr>
        <w:spacing w:after="200" w:line="276" w:lineRule="auto"/>
        <w:ind w:left="0" w:firstLine="0"/>
        <w:rPr>
          <w:b/>
          <w:caps/>
          <w:sz w:val="22"/>
          <w:szCs w:val="22"/>
          <w:u w:val="single"/>
        </w:rPr>
      </w:pPr>
      <w:r w:rsidRPr="004216E0">
        <w:rPr>
          <w:b/>
          <w:caps/>
          <w:sz w:val="22"/>
          <w:szCs w:val="22"/>
          <w:u w:val="single"/>
        </w:rPr>
        <w:t>Endorsement of Terms of Reference</w:t>
      </w:r>
    </w:p>
    <w:p w14:paraId="255DEDD7" w14:textId="77777777" w:rsidR="00540395" w:rsidRPr="008601EE" w:rsidRDefault="00540395" w:rsidP="00F4052C">
      <w:pPr>
        <w:pStyle w:val="ListParagraph"/>
        <w:ind w:left="0"/>
      </w:pPr>
    </w:p>
    <w:tbl>
      <w:tblPr>
        <w:tblStyle w:val="TableGrid"/>
        <w:tblW w:w="0" w:type="auto"/>
        <w:tblLook w:val="04A0" w:firstRow="1" w:lastRow="0" w:firstColumn="1" w:lastColumn="0" w:noHBand="0" w:noVBand="1"/>
      </w:tblPr>
      <w:tblGrid>
        <w:gridCol w:w="1877"/>
        <w:gridCol w:w="1789"/>
        <w:gridCol w:w="1804"/>
        <w:gridCol w:w="1737"/>
        <w:gridCol w:w="1809"/>
      </w:tblGrid>
      <w:tr w:rsidR="00540395" w:rsidRPr="008601EE" w14:paraId="11E5294B" w14:textId="77777777" w:rsidTr="00643E04">
        <w:tc>
          <w:tcPr>
            <w:tcW w:w="1891" w:type="dxa"/>
          </w:tcPr>
          <w:p w14:paraId="1F7A2926" w14:textId="77777777" w:rsidR="00540395" w:rsidRPr="008601EE" w:rsidRDefault="00540395" w:rsidP="00F4052C">
            <w:pPr>
              <w:pStyle w:val="ListParagraph"/>
              <w:ind w:left="0"/>
            </w:pPr>
            <w:r w:rsidRPr="008601EE">
              <w:t>Function</w:t>
            </w:r>
          </w:p>
        </w:tc>
        <w:tc>
          <w:tcPr>
            <w:tcW w:w="1852" w:type="dxa"/>
          </w:tcPr>
          <w:p w14:paraId="2C895AB1" w14:textId="77777777" w:rsidR="00540395" w:rsidRPr="008601EE" w:rsidRDefault="00540395" w:rsidP="00F4052C">
            <w:pPr>
              <w:pStyle w:val="ListParagraph"/>
              <w:ind w:left="0"/>
            </w:pPr>
            <w:r w:rsidRPr="008601EE">
              <w:t>Name</w:t>
            </w:r>
          </w:p>
        </w:tc>
        <w:tc>
          <w:tcPr>
            <w:tcW w:w="1846" w:type="dxa"/>
          </w:tcPr>
          <w:p w14:paraId="2C690182" w14:textId="77777777" w:rsidR="00540395" w:rsidRPr="008601EE" w:rsidRDefault="00540395" w:rsidP="00F4052C">
            <w:pPr>
              <w:pStyle w:val="ListParagraph"/>
              <w:ind w:left="0"/>
            </w:pPr>
            <w:r w:rsidRPr="008601EE">
              <w:t>Signature</w:t>
            </w:r>
          </w:p>
        </w:tc>
        <w:tc>
          <w:tcPr>
            <w:tcW w:w="1804" w:type="dxa"/>
          </w:tcPr>
          <w:p w14:paraId="536B9D76" w14:textId="77777777" w:rsidR="00540395" w:rsidRPr="008601EE" w:rsidRDefault="00540395" w:rsidP="00F4052C">
            <w:pPr>
              <w:pStyle w:val="ListParagraph"/>
              <w:ind w:left="0"/>
            </w:pPr>
            <w:r w:rsidRPr="008601EE">
              <w:t>Date</w:t>
            </w:r>
          </w:p>
        </w:tc>
        <w:tc>
          <w:tcPr>
            <w:tcW w:w="1849" w:type="dxa"/>
          </w:tcPr>
          <w:p w14:paraId="62848B69" w14:textId="77777777" w:rsidR="00540395" w:rsidRPr="008601EE" w:rsidRDefault="00540395" w:rsidP="00F4052C">
            <w:pPr>
              <w:pStyle w:val="ListParagraph"/>
              <w:ind w:left="0"/>
            </w:pPr>
            <w:r w:rsidRPr="008601EE">
              <w:t>Comment</w:t>
            </w:r>
          </w:p>
        </w:tc>
      </w:tr>
      <w:tr w:rsidR="00540395" w:rsidRPr="008601EE" w14:paraId="0E223EB7" w14:textId="77777777" w:rsidTr="00643E04">
        <w:trPr>
          <w:trHeight w:val="800"/>
        </w:trPr>
        <w:tc>
          <w:tcPr>
            <w:tcW w:w="1891" w:type="dxa"/>
          </w:tcPr>
          <w:p w14:paraId="1F6DD62C" w14:textId="220DA91D" w:rsidR="00540395" w:rsidRPr="008601EE" w:rsidRDefault="00540395" w:rsidP="00F4052C">
            <w:pPr>
              <w:pStyle w:val="ListParagraph"/>
              <w:ind w:left="0"/>
            </w:pPr>
            <w:r w:rsidRPr="008601EE">
              <w:t>Section Chief</w:t>
            </w:r>
            <w:r w:rsidR="008247D5">
              <w:t xml:space="preserve"> (OIC)</w:t>
            </w:r>
          </w:p>
        </w:tc>
        <w:tc>
          <w:tcPr>
            <w:tcW w:w="1852" w:type="dxa"/>
          </w:tcPr>
          <w:p w14:paraId="53BE2B1A" w14:textId="2EBBBB7F" w:rsidR="00540395" w:rsidRPr="008601EE" w:rsidRDefault="004216E0" w:rsidP="00F4052C">
            <w:pPr>
              <w:pStyle w:val="ListParagraph"/>
              <w:ind w:left="0"/>
            </w:pPr>
            <w:r>
              <w:t xml:space="preserve"> </w:t>
            </w:r>
          </w:p>
        </w:tc>
        <w:tc>
          <w:tcPr>
            <w:tcW w:w="1846" w:type="dxa"/>
          </w:tcPr>
          <w:p w14:paraId="41886B79" w14:textId="77777777" w:rsidR="00540395" w:rsidRPr="008601EE" w:rsidRDefault="00540395" w:rsidP="00F4052C">
            <w:pPr>
              <w:pStyle w:val="ListParagraph"/>
              <w:ind w:left="0"/>
            </w:pPr>
          </w:p>
        </w:tc>
        <w:tc>
          <w:tcPr>
            <w:tcW w:w="1804" w:type="dxa"/>
          </w:tcPr>
          <w:p w14:paraId="298FD16F" w14:textId="77777777" w:rsidR="00540395" w:rsidRPr="008601EE" w:rsidRDefault="00540395" w:rsidP="00F4052C">
            <w:pPr>
              <w:pStyle w:val="ListParagraph"/>
              <w:ind w:left="0"/>
            </w:pPr>
          </w:p>
        </w:tc>
        <w:tc>
          <w:tcPr>
            <w:tcW w:w="1849" w:type="dxa"/>
          </w:tcPr>
          <w:p w14:paraId="0D6245F3" w14:textId="77777777" w:rsidR="00540395" w:rsidRPr="008601EE" w:rsidRDefault="00540395" w:rsidP="00F4052C">
            <w:pPr>
              <w:pStyle w:val="ListParagraph"/>
              <w:ind w:left="0"/>
            </w:pPr>
          </w:p>
        </w:tc>
      </w:tr>
      <w:tr w:rsidR="008247D5" w:rsidRPr="008601EE" w14:paraId="1E91FCED" w14:textId="77777777" w:rsidTr="00643E04">
        <w:trPr>
          <w:trHeight w:val="800"/>
        </w:trPr>
        <w:tc>
          <w:tcPr>
            <w:tcW w:w="1891" w:type="dxa"/>
          </w:tcPr>
          <w:p w14:paraId="74B23C8A" w14:textId="61A0E4B1" w:rsidR="008247D5" w:rsidRPr="008601EE" w:rsidRDefault="008247D5" w:rsidP="00F4052C">
            <w:pPr>
              <w:pStyle w:val="ListParagraph"/>
              <w:ind w:left="0"/>
            </w:pPr>
            <w:r>
              <w:t>Supply Specialist</w:t>
            </w:r>
          </w:p>
        </w:tc>
        <w:tc>
          <w:tcPr>
            <w:tcW w:w="1852" w:type="dxa"/>
          </w:tcPr>
          <w:p w14:paraId="74C97370" w14:textId="7E1835B7" w:rsidR="008247D5" w:rsidRDefault="004216E0" w:rsidP="00F4052C">
            <w:pPr>
              <w:pStyle w:val="ListParagraph"/>
              <w:ind w:left="0"/>
            </w:pPr>
            <w:r>
              <w:t xml:space="preserve"> </w:t>
            </w:r>
          </w:p>
        </w:tc>
        <w:tc>
          <w:tcPr>
            <w:tcW w:w="1846" w:type="dxa"/>
          </w:tcPr>
          <w:p w14:paraId="6F5E92E2" w14:textId="77777777" w:rsidR="008247D5" w:rsidRPr="008601EE" w:rsidRDefault="008247D5" w:rsidP="00F4052C">
            <w:pPr>
              <w:pStyle w:val="ListParagraph"/>
              <w:ind w:left="0"/>
            </w:pPr>
          </w:p>
        </w:tc>
        <w:tc>
          <w:tcPr>
            <w:tcW w:w="1804" w:type="dxa"/>
          </w:tcPr>
          <w:p w14:paraId="1A35EA68" w14:textId="77777777" w:rsidR="008247D5" w:rsidRPr="008601EE" w:rsidRDefault="008247D5" w:rsidP="00F4052C">
            <w:pPr>
              <w:pStyle w:val="ListParagraph"/>
              <w:ind w:left="0"/>
            </w:pPr>
          </w:p>
        </w:tc>
        <w:tc>
          <w:tcPr>
            <w:tcW w:w="1849" w:type="dxa"/>
          </w:tcPr>
          <w:p w14:paraId="216E4677" w14:textId="77777777" w:rsidR="008247D5" w:rsidRPr="008601EE" w:rsidRDefault="008247D5" w:rsidP="00F4052C">
            <w:pPr>
              <w:pStyle w:val="ListParagraph"/>
              <w:ind w:left="0"/>
            </w:pPr>
          </w:p>
        </w:tc>
      </w:tr>
      <w:tr w:rsidR="00540395" w:rsidRPr="008601EE" w14:paraId="51AF49FE" w14:textId="77777777" w:rsidTr="00643E04">
        <w:trPr>
          <w:trHeight w:val="773"/>
        </w:trPr>
        <w:tc>
          <w:tcPr>
            <w:tcW w:w="1891" w:type="dxa"/>
          </w:tcPr>
          <w:p w14:paraId="52CCB83D" w14:textId="77777777" w:rsidR="00540395" w:rsidRPr="008601EE" w:rsidRDefault="00540395" w:rsidP="00F4052C">
            <w:pPr>
              <w:pStyle w:val="ListParagraph"/>
              <w:ind w:left="0"/>
            </w:pPr>
            <w:r w:rsidRPr="008601EE">
              <w:t>Deputy Representative</w:t>
            </w:r>
          </w:p>
        </w:tc>
        <w:tc>
          <w:tcPr>
            <w:tcW w:w="1852" w:type="dxa"/>
          </w:tcPr>
          <w:p w14:paraId="12C4DA20" w14:textId="6587D2BB" w:rsidR="00540395" w:rsidRPr="008601EE" w:rsidRDefault="004216E0" w:rsidP="00F4052C">
            <w:pPr>
              <w:pStyle w:val="ListParagraph"/>
              <w:ind w:left="0"/>
            </w:pPr>
            <w:r>
              <w:t xml:space="preserve"> </w:t>
            </w:r>
          </w:p>
        </w:tc>
        <w:tc>
          <w:tcPr>
            <w:tcW w:w="1846" w:type="dxa"/>
          </w:tcPr>
          <w:p w14:paraId="24F0A890" w14:textId="77777777" w:rsidR="00540395" w:rsidRPr="008601EE" w:rsidRDefault="00540395" w:rsidP="00F4052C">
            <w:pPr>
              <w:pStyle w:val="ListParagraph"/>
              <w:ind w:left="0"/>
            </w:pPr>
          </w:p>
        </w:tc>
        <w:tc>
          <w:tcPr>
            <w:tcW w:w="1804" w:type="dxa"/>
          </w:tcPr>
          <w:p w14:paraId="3F7F52DC" w14:textId="77777777" w:rsidR="00540395" w:rsidRPr="008601EE" w:rsidRDefault="00540395" w:rsidP="00F4052C">
            <w:pPr>
              <w:pStyle w:val="ListParagraph"/>
              <w:ind w:left="0"/>
            </w:pPr>
          </w:p>
        </w:tc>
        <w:tc>
          <w:tcPr>
            <w:tcW w:w="1849" w:type="dxa"/>
          </w:tcPr>
          <w:p w14:paraId="129AA4C1" w14:textId="77777777" w:rsidR="00540395" w:rsidRPr="008601EE" w:rsidRDefault="00540395" w:rsidP="00F4052C">
            <w:pPr>
              <w:pStyle w:val="ListParagraph"/>
              <w:ind w:left="0"/>
            </w:pPr>
          </w:p>
        </w:tc>
      </w:tr>
    </w:tbl>
    <w:p w14:paraId="4CB672DC" w14:textId="77777777" w:rsidR="00540395" w:rsidRPr="008601EE" w:rsidRDefault="00540395">
      <w:pPr>
        <w:rPr>
          <w:rFonts w:ascii="Times New Roman" w:hAnsi="Times New Roman" w:cs="Times New Roman"/>
          <w:b/>
          <w:sz w:val="28"/>
        </w:rPr>
      </w:pPr>
      <w:r w:rsidRPr="008601EE">
        <w:rPr>
          <w:rFonts w:ascii="Times New Roman" w:hAnsi="Times New Roman" w:cs="Times New Roman"/>
          <w:b/>
          <w:sz w:val="28"/>
        </w:rPr>
        <w:br w:type="page"/>
      </w:r>
    </w:p>
    <w:p w14:paraId="0E6136BE" w14:textId="77777777" w:rsidR="003F193C" w:rsidRDefault="003F193C" w:rsidP="001C2479">
      <w:pPr>
        <w:spacing w:after="0"/>
        <w:rPr>
          <w:rFonts w:ascii="Times New Roman" w:hAnsi="Times New Roman" w:cs="Times New Roman"/>
          <w:b/>
          <w:sz w:val="28"/>
          <w:szCs w:val="28"/>
          <w:u w:val="single"/>
        </w:rPr>
      </w:pPr>
      <w:r w:rsidRPr="008601EE">
        <w:rPr>
          <w:rFonts w:ascii="Times New Roman" w:hAnsi="Times New Roman" w:cs="Times New Roman"/>
          <w:b/>
          <w:sz w:val="28"/>
          <w:szCs w:val="28"/>
          <w:u w:val="single"/>
        </w:rPr>
        <w:lastRenderedPageBreak/>
        <w:t xml:space="preserve">ANNEX: </w:t>
      </w:r>
    </w:p>
    <w:p w14:paraId="22D8A3CE" w14:textId="77777777" w:rsidR="00935833" w:rsidRPr="008601EE" w:rsidRDefault="00935833" w:rsidP="001C2479">
      <w:pPr>
        <w:spacing w:after="0"/>
        <w:rPr>
          <w:rFonts w:ascii="Times New Roman" w:hAnsi="Times New Roman" w:cs="Times New Roman"/>
          <w:b/>
          <w:sz w:val="28"/>
          <w:szCs w:val="28"/>
          <w:u w:val="single"/>
        </w:rPr>
      </w:pPr>
    </w:p>
    <w:p w14:paraId="51E39504" w14:textId="65C7DE11" w:rsidR="00935833" w:rsidRPr="00935833" w:rsidRDefault="00935833" w:rsidP="00935833">
      <w:pPr>
        <w:spacing w:after="0" w:line="240" w:lineRule="auto"/>
        <w:rPr>
          <w:rFonts w:ascii="Times New Roman" w:eastAsia="Times New Roman" w:hAnsi="Times New Roman" w:cs="Times New Roman"/>
          <w:sz w:val="24"/>
          <w:szCs w:val="24"/>
          <w:lang w:val="en-US"/>
        </w:rPr>
      </w:pPr>
      <w:r w:rsidRPr="00935833">
        <w:rPr>
          <w:rFonts w:ascii="Times New Roman" w:eastAsia="Times New Roman" w:hAnsi="Times New Roman" w:cs="Times New Roman"/>
          <w:sz w:val="24"/>
          <w:szCs w:val="24"/>
          <w:lang w:val="en-US"/>
        </w:rPr>
        <w:t xml:space="preserve">The baseline data collection took place between </w:t>
      </w:r>
      <w:r w:rsidR="005D0646" w:rsidRPr="005D0646">
        <w:rPr>
          <w:rFonts w:ascii="Times New Roman" w:eastAsia="Times New Roman" w:hAnsi="Times New Roman" w:cs="Times New Roman"/>
          <w:b/>
          <w:sz w:val="24"/>
          <w:szCs w:val="24"/>
          <w:lang w:val="en-US"/>
        </w:rPr>
        <w:t>DATE</w:t>
      </w:r>
      <w:r w:rsidRPr="00935833">
        <w:rPr>
          <w:rFonts w:ascii="Times New Roman" w:eastAsia="Times New Roman" w:hAnsi="Times New Roman" w:cs="Times New Roman"/>
          <w:sz w:val="24"/>
          <w:szCs w:val="24"/>
          <w:lang w:val="en-US"/>
        </w:rPr>
        <w:t xml:space="preserve"> and </w:t>
      </w:r>
      <w:r w:rsidR="005D0646" w:rsidRPr="005D0646">
        <w:rPr>
          <w:rFonts w:ascii="Times New Roman" w:eastAsia="Times New Roman" w:hAnsi="Times New Roman" w:cs="Times New Roman"/>
          <w:b/>
          <w:sz w:val="24"/>
          <w:szCs w:val="24"/>
          <w:lang w:val="en-US"/>
        </w:rPr>
        <w:t>DATE</w:t>
      </w:r>
      <w:r w:rsidRPr="00935833">
        <w:rPr>
          <w:rFonts w:ascii="Times New Roman" w:eastAsia="Times New Roman" w:hAnsi="Times New Roman" w:cs="Times New Roman"/>
          <w:sz w:val="24"/>
          <w:szCs w:val="24"/>
          <w:lang w:val="en-US"/>
        </w:rPr>
        <w:t>.  It is expected a similar time frame will be needed for the follow-up survey due to similar sample sizes and methods.  However, it may require less time if more field teams are involved and /or the teams have greater efficiency based on lessons learned from the baseline survey.</w:t>
      </w:r>
    </w:p>
    <w:p w14:paraId="427DE22D" w14:textId="77777777" w:rsidR="003F193C" w:rsidRPr="006E6034" w:rsidRDefault="003F193C" w:rsidP="001C2479">
      <w:pPr>
        <w:spacing w:after="0"/>
        <w:rPr>
          <w:rFonts w:ascii="Times New Roman" w:hAnsi="Times New Roman" w:cs="Times New Roman"/>
          <w:b/>
          <w:sz w:val="24"/>
          <w:szCs w:val="24"/>
          <w:lang w:val="en-US"/>
        </w:rPr>
      </w:pPr>
    </w:p>
    <w:p w14:paraId="4D284AB7" w14:textId="77777777" w:rsidR="00935833" w:rsidRDefault="00935833" w:rsidP="00935833">
      <w:r w:rsidRPr="00935833">
        <w:rPr>
          <w:rFonts w:ascii="Times New Roman" w:hAnsi="Times New Roman" w:cs="Times New Roman"/>
        </w:rPr>
        <w:t>Assumptions</w:t>
      </w:r>
      <w:r>
        <w:t>:</w:t>
      </w:r>
    </w:p>
    <w:p w14:paraId="1DC72433" w14:textId="77777777" w:rsidR="00935833" w:rsidRDefault="00935833" w:rsidP="00935833">
      <w:pPr>
        <w:pStyle w:val="ListParagraph"/>
        <w:numPr>
          <w:ilvl w:val="0"/>
          <w:numId w:val="2"/>
        </w:numPr>
      </w:pPr>
      <w:r>
        <w:t>The cluster maps are available from the baseline and only require updating and not completely developing again.</w:t>
      </w:r>
    </w:p>
    <w:p w14:paraId="7BC48A92" w14:textId="77777777" w:rsidR="00935833" w:rsidRDefault="00935833" w:rsidP="00935833">
      <w:pPr>
        <w:pStyle w:val="ListParagraph"/>
        <w:numPr>
          <w:ilvl w:val="0"/>
          <w:numId w:val="2"/>
        </w:numPr>
      </w:pPr>
      <w:r>
        <w:t xml:space="preserve">The training, piloting and data collection timeline estimates below </w:t>
      </w:r>
      <w:r w:rsidRPr="00A60D1A">
        <w:rPr>
          <w:u w:val="single"/>
        </w:rPr>
        <w:t>do not</w:t>
      </w:r>
      <w:r>
        <w:t xml:space="preserve"> account for conducting a census to identify all households with eligible children in each of the clusters.  The census should be carried out a few days or weeks prior to the survey data collection and can potentially be implemented by survey field team members when they arrive in the cluster, or by different staff who are working ahead of the field teams, depending on the preferences of the contractor.  </w:t>
      </w:r>
    </w:p>
    <w:p w14:paraId="3E04FF45" w14:textId="77777777" w:rsidR="00935833" w:rsidRDefault="00935833" w:rsidP="00935833">
      <w:pPr>
        <w:pStyle w:val="ListParagraph"/>
        <w:numPr>
          <w:ilvl w:val="0"/>
          <w:numId w:val="2"/>
        </w:numPr>
      </w:pPr>
      <w:r>
        <w:t>Community leaders, health facility staff, and FCHVs will help provide community mobilization, as appropriate, to support acceptance of the survey data collection, identifying households of selected children, and response rates</w:t>
      </w:r>
    </w:p>
    <w:p w14:paraId="60C1DA33" w14:textId="77777777" w:rsidR="00935833" w:rsidRDefault="00935833" w:rsidP="00935833">
      <w:pPr>
        <w:pStyle w:val="ListParagraph"/>
        <w:numPr>
          <w:ilvl w:val="0"/>
          <w:numId w:val="2"/>
        </w:numPr>
      </w:pPr>
      <w:r>
        <w:t>Two weeks of training and piloting will be conducted with all survey staff</w:t>
      </w:r>
    </w:p>
    <w:p w14:paraId="07DCB218" w14:textId="77777777" w:rsidR="00935833" w:rsidRDefault="00935833" w:rsidP="00935833">
      <w:pPr>
        <w:pStyle w:val="ListParagraph"/>
        <w:numPr>
          <w:ilvl w:val="0"/>
          <w:numId w:val="2"/>
        </w:numPr>
      </w:pPr>
      <w:r>
        <w:t xml:space="preserve">Every week: </w:t>
      </w:r>
    </w:p>
    <w:p w14:paraId="38A8F4D9" w14:textId="77777777" w:rsidR="00935833" w:rsidRDefault="00935833" w:rsidP="00935833">
      <w:pPr>
        <w:pStyle w:val="ListParagraph"/>
        <w:numPr>
          <w:ilvl w:val="1"/>
          <w:numId w:val="2"/>
        </w:numPr>
      </w:pPr>
      <w:r>
        <w:t>Teams work 6 days a week and have one day off</w:t>
      </w:r>
    </w:p>
    <w:p w14:paraId="44C5F02A" w14:textId="77777777" w:rsidR="00935833" w:rsidRDefault="00935833" w:rsidP="00935833">
      <w:pPr>
        <w:pStyle w:val="ListParagraph"/>
        <w:numPr>
          <w:ilvl w:val="1"/>
          <w:numId w:val="2"/>
        </w:numPr>
      </w:pPr>
      <w:r>
        <w:t>One day total to account for travel between clusters in the district</w:t>
      </w:r>
    </w:p>
    <w:p w14:paraId="789B5219" w14:textId="77777777" w:rsidR="00935833" w:rsidRPr="00426DE1" w:rsidRDefault="00935833" w:rsidP="00935833">
      <w:pPr>
        <w:pStyle w:val="ListParagraph"/>
        <w:numPr>
          <w:ilvl w:val="1"/>
          <w:numId w:val="2"/>
        </w:numPr>
      </w:pPr>
      <w:r w:rsidRPr="00426DE1">
        <w:t xml:space="preserve">Four </w:t>
      </w:r>
      <w:r>
        <w:t xml:space="preserve">to five </w:t>
      </w:r>
      <w:r w:rsidRPr="00426DE1">
        <w:t xml:space="preserve">days a week collecting data from participants </w:t>
      </w:r>
    </w:p>
    <w:p w14:paraId="79A976EC" w14:textId="77777777" w:rsidR="00935833" w:rsidRDefault="00935833" w:rsidP="00935833">
      <w:pPr>
        <w:pStyle w:val="ListParagraph"/>
        <w:numPr>
          <w:ilvl w:val="0"/>
          <w:numId w:val="2"/>
        </w:numPr>
      </w:pPr>
      <w:r>
        <w:t>Two teams are expected to collect data from all participants in one cluster in one day, so that the 8 teams are expected to complete 4 clusters per day</w:t>
      </w:r>
    </w:p>
    <w:p w14:paraId="75444706" w14:textId="77777777" w:rsidR="00935833" w:rsidRDefault="00935833" w:rsidP="00935833">
      <w:pPr>
        <w:pStyle w:val="ListParagraph"/>
        <w:numPr>
          <w:ilvl w:val="0"/>
          <w:numId w:val="2"/>
        </w:numPr>
      </w:pPr>
      <w:r>
        <w:t xml:space="preserve">Each pair of teams will collect data from </w:t>
      </w:r>
      <w:r w:rsidRPr="00426DE1">
        <w:t>~</w:t>
      </w:r>
      <w:r>
        <w:t>4-5 clusters each week</w:t>
      </w:r>
    </w:p>
    <w:p w14:paraId="5765A4CB" w14:textId="77777777" w:rsidR="00935833" w:rsidRDefault="00935833" w:rsidP="00935833">
      <w:pPr>
        <w:pStyle w:val="ListParagraph"/>
        <w:numPr>
          <w:ilvl w:val="0"/>
          <w:numId w:val="2"/>
        </w:numPr>
      </w:pPr>
      <w:r>
        <w:t>Field work should take 4-5 weeks (</w:t>
      </w:r>
      <w:r w:rsidRPr="00A60D1A">
        <w:rPr>
          <w:b/>
        </w:rPr>
        <w:t>not including census</w:t>
      </w:r>
      <w:r>
        <w:t>)</w:t>
      </w:r>
    </w:p>
    <w:p w14:paraId="716FE413" w14:textId="77777777" w:rsidR="00935833" w:rsidRDefault="00935833" w:rsidP="00935833">
      <w:pPr>
        <w:pStyle w:val="ListParagraph"/>
        <w:numPr>
          <w:ilvl w:val="0"/>
          <w:numId w:val="2"/>
        </w:numPr>
      </w:pPr>
      <w:r>
        <w:t>Budget an additional week for mop up and unexpected delays</w:t>
      </w:r>
    </w:p>
    <w:p w14:paraId="6C8D8F0E" w14:textId="77777777" w:rsidR="00935833" w:rsidRDefault="00935833" w:rsidP="00935833">
      <w:pPr>
        <w:pStyle w:val="ListParagraph"/>
        <w:numPr>
          <w:ilvl w:val="0"/>
          <w:numId w:val="2"/>
        </w:numPr>
      </w:pPr>
      <w:r>
        <w:lastRenderedPageBreak/>
        <w:t>Total time line from start of training to end of data collection ~8 weeks (</w:t>
      </w:r>
      <w:r w:rsidRPr="00A60D1A">
        <w:rPr>
          <w:b/>
        </w:rPr>
        <w:t>not including census</w:t>
      </w:r>
      <w:r>
        <w:t>)</w:t>
      </w:r>
    </w:p>
    <w:p w14:paraId="0C6FDE10" w14:textId="77777777" w:rsidR="004F6C8C" w:rsidRDefault="004F6C8C">
      <w:pPr>
        <w:rPr>
          <w:rFonts w:ascii="Times New Roman" w:hAnsi="Times New Roman" w:cs="Times New Roman"/>
          <w:b/>
          <w:sz w:val="24"/>
          <w:szCs w:val="24"/>
        </w:rPr>
      </w:pPr>
      <w:r>
        <w:rPr>
          <w:rFonts w:ascii="Times New Roman" w:hAnsi="Times New Roman" w:cs="Times New Roman"/>
          <w:b/>
          <w:sz w:val="24"/>
          <w:szCs w:val="24"/>
        </w:rPr>
        <w:br w:type="page"/>
      </w:r>
    </w:p>
    <w:p w14:paraId="3AA6C79B" w14:textId="77777777" w:rsidR="009D010C" w:rsidRPr="008601EE" w:rsidRDefault="009D010C" w:rsidP="009D010C">
      <w:pPr>
        <w:rPr>
          <w:rFonts w:ascii="Times New Roman" w:hAnsi="Times New Roman" w:cs="Times New Roman"/>
          <w:b/>
          <w:sz w:val="24"/>
          <w:szCs w:val="24"/>
        </w:rPr>
      </w:pPr>
      <w:r w:rsidRPr="008601EE">
        <w:rPr>
          <w:rFonts w:ascii="Times New Roman" w:hAnsi="Times New Roman" w:cs="Times New Roman"/>
          <w:b/>
          <w:sz w:val="24"/>
          <w:szCs w:val="24"/>
        </w:rPr>
        <w:lastRenderedPageBreak/>
        <w:t>References</w:t>
      </w:r>
    </w:p>
    <w:p w14:paraId="2B445D33" w14:textId="77777777" w:rsidR="009D010C" w:rsidRPr="008601EE" w:rsidRDefault="009D010C" w:rsidP="009D010C">
      <w:pPr>
        <w:pStyle w:val="ListParagraph"/>
        <w:numPr>
          <w:ilvl w:val="0"/>
          <w:numId w:val="3"/>
        </w:numPr>
        <w:jc w:val="both"/>
        <w:rPr>
          <w:sz w:val="22"/>
        </w:rPr>
      </w:pPr>
      <w:r w:rsidRPr="008601EE">
        <w:rPr>
          <w:sz w:val="22"/>
        </w:rPr>
        <w:t xml:space="preserve">Ministry of Health and Population (MOHP) [Nepal], New ERA, and Macro International Inc. 2007. Nepal Demographic and Health Survey 2006. Kathmandu, Nepal: Ministry of Health and Population, New ERA, and Macro International Inc. </w:t>
      </w:r>
    </w:p>
    <w:p w14:paraId="78B849D6" w14:textId="77777777" w:rsidR="009D010C" w:rsidRPr="008601EE" w:rsidRDefault="009D010C" w:rsidP="009D010C">
      <w:pPr>
        <w:pStyle w:val="ListParagraph"/>
        <w:numPr>
          <w:ilvl w:val="0"/>
          <w:numId w:val="3"/>
        </w:numPr>
        <w:jc w:val="both"/>
        <w:rPr>
          <w:sz w:val="22"/>
        </w:rPr>
      </w:pPr>
      <w:r w:rsidRPr="008601EE">
        <w:rPr>
          <w:sz w:val="22"/>
        </w:rPr>
        <w:t xml:space="preserve">Ministry of Health and Population (MOHP) [Nepal], New ERA, Macro International Inc., and the USAID 2011. Nepal Demographic and Health Survey Preliminary Report 2011. Kathmandu, Nepal: Ministry of Health and Population, New ERA, and Macro International Inc. </w:t>
      </w:r>
    </w:p>
    <w:p w14:paraId="50F58E8D" w14:textId="77777777" w:rsidR="009D010C" w:rsidRPr="008601EE" w:rsidRDefault="009D010C" w:rsidP="009D010C">
      <w:pPr>
        <w:pStyle w:val="ListParagraph"/>
        <w:numPr>
          <w:ilvl w:val="0"/>
          <w:numId w:val="3"/>
        </w:numPr>
        <w:jc w:val="both"/>
        <w:rPr>
          <w:sz w:val="22"/>
        </w:rPr>
      </w:pPr>
      <w:r w:rsidRPr="008601EE">
        <w:rPr>
          <w:sz w:val="22"/>
        </w:rPr>
        <w:t>Department of Health Services, Ministry of Health and Population, Government of Nepal.  Tracking Progress on Child and Maternal Nutrition in Nepal: A survival and development priority.  Kathmandu, Nepal: Ministry of Health and Population, 2010.</w:t>
      </w:r>
    </w:p>
    <w:p w14:paraId="776AA224" w14:textId="77777777" w:rsidR="009D010C" w:rsidRPr="008601EE" w:rsidRDefault="009D010C" w:rsidP="009D010C">
      <w:pPr>
        <w:pStyle w:val="ListParagraph"/>
        <w:numPr>
          <w:ilvl w:val="0"/>
          <w:numId w:val="3"/>
        </w:numPr>
        <w:jc w:val="both"/>
        <w:rPr>
          <w:sz w:val="22"/>
        </w:rPr>
      </w:pPr>
      <w:r w:rsidRPr="008601EE">
        <w:rPr>
          <w:sz w:val="22"/>
        </w:rPr>
        <w:t xml:space="preserve">Department of Health Services, Ministry of Health and Population. National Nutrition Policy and Strategy. Kathmandu, Nepal: Ministry of Health and Population, 2008. </w:t>
      </w:r>
    </w:p>
    <w:p w14:paraId="50DB46FF" w14:textId="77777777" w:rsidR="009D010C" w:rsidRPr="008601EE" w:rsidRDefault="009D010C" w:rsidP="009D010C">
      <w:pPr>
        <w:pStyle w:val="ListParagraph"/>
        <w:numPr>
          <w:ilvl w:val="0"/>
          <w:numId w:val="3"/>
        </w:numPr>
        <w:jc w:val="both"/>
        <w:rPr>
          <w:sz w:val="22"/>
        </w:rPr>
      </w:pPr>
      <w:r w:rsidRPr="008601EE">
        <w:rPr>
          <w:sz w:val="22"/>
        </w:rPr>
        <w:t xml:space="preserve">Department of Health Services, Ministry of Health and Population. Annual Report: Department of Health Services 2009/2010. Kathmandu, Nepal: Ministry of Health and Population, 2010. </w:t>
      </w:r>
    </w:p>
    <w:p w14:paraId="073F91A9" w14:textId="77777777" w:rsidR="009D010C" w:rsidRPr="008601EE" w:rsidRDefault="009D010C" w:rsidP="009D010C">
      <w:pPr>
        <w:pStyle w:val="ListParagraph"/>
        <w:numPr>
          <w:ilvl w:val="0"/>
          <w:numId w:val="3"/>
        </w:numPr>
        <w:jc w:val="both"/>
        <w:rPr>
          <w:sz w:val="22"/>
          <w:szCs w:val="22"/>
        </w:rPr>
      </w:pPr>
      <w:r w:rsidRPr="008601EE">
        <w:rPr>
          <w:sz w:val="22"/>
          <w:szCs w:val="22"/>
        </w:rPr>
        <w:t>Codling, K. 2011. Accelerating Progress in Reducing Maternal and Child Undernutrition in Nepal: A review of global evidence of essential nutrition interventions for the Nepal Health Sector Plan II and Multi-Sectoral Plan for Nutrition, The World Bank.</w:t>
      </w:r>
    </w:p>
    <w:p w14:paraId="2CC3BEE3" w14:textId="77777777" w:rsidR="009D010C" w:rsidRPr="008601EE" w:rsidRDefault="009D010C" w:rsidP="009D010C">
      <w:pPr>
        <w:pStyle w:val="ListParagraph"/>
        <w:numPr>
          <w:ilvl w:val="0"/>
          <w:numId w:val="3"/>
        </w:numPr>
        <w:jc w:val="both"/>
        <w:rPr>
          <w:sz w:val="22"/>
          <w:szCs w:val="22"/>
        </w:rPr>
      </w:pPr>
      <w:r w:rsidRPr="008601EE">
        <w:rPr>
          <w:sz w:val="22"/>
          <w:szCs w:val="22"/>
        </w:rPr>
        <w:t xml:space="preserve">National Planning Commission. 2011.  Nepal Multi-sectoral Nutrition Plan for Accelerating the Reduction of Maternal and Child Under-Nutrition in Nepal.  Preliminary Draft. </w:t>
      </w:r>
    </w:p>
    <w:p w14:paraId="6C7ED0AC" w14:textId="77777777" w:rsidR="009D010C" w:rsidRPr="008601EE" w:rsidRDefault="009D010C" w:rsidP="009D010C">
      <w:pPr>
        <w:pStyle w:val="ListParagraph"/>
        <w:numPr>
          <w:ilvl w:val="0"/>
          <w:numId w:val="3"/>
        </w:numPr>
        <w:jc w:val="both"/>
        <w:rPr>
          <w:sz w:val="22"/>
        </w:rPr>
      </w:pPr>
      <w:r w:rsidRPr="008601EE">
        <w:rPr>
          <w:sz w:val="22"/>
        </w:rPr>
        <w:t>WHO. Guideline: Use of multiple micronutrient powders for home fortification of foods consumed by infants and children 6–23 months of age. Geneva, World Health Organization, 2011.</w:t>
      </w:r>
    </w:p>
    <w:p w14:paraId="581837E4" w14:textId="77777777" w:rsidR="009D010C" w:rsidRPr="008601EE" w:rsidRDefault="009D010C" w:rsidP="009D010C">
      <w:pPr>
        <w:jc w:val="both"/>
        <w:rPr>
          <w:rFonts w:ascii="Times New Roman" w:hAnsi="Times New Roman" w:cs="Times New Roman"/>
        </w:rPr>
      </w:pPr>
    </w:p>
    <w:p w14:paraId="342504C3" w14:textId="77777777" w:rsidR="0016116E" w:rsidRPr="008601EE" w:rsidRDefault="0016116E">
      <w:pPr>
        <w:rPr>
          <w:rFonts w:ascii="Times New Roman" w:hAnsi="Times New Roman" w:cs="Times New Roman"/>
          <w:sz w:val="24"/>
          <w:szCs w:val="24"/>
        </w:rPr>
      </w:pPr>
    </w:p>
    <w:p w14:paraId="0B348C01" w14:textId="77777777" w:rsidR="0016116E" w:rsidRPr="008601EE" w:rsidRDefault="0016116E">
      <w:pPr>
        <w:rPr>
          <w:rFonts w:ascii="Times New Roman" w:hAnsi="Times New Roman" w:cs="Times New Roman"/>
          <w:sz w:val="24"/>
          <w:szCs w:val="24"/>
        </w:rPr>
      </w:pPr>
    </w:p>
    <w:p w14:paraId="79EBA9B3" w14:textId="77777777" w:rsidR="00B964E0" w:rsidRPr="008601EE" w:rsidRDefault="00B964E0">
      <w:pPr>
        <w:rPr>
          <w:rFonts w:ascii="Times New Roman" w:hAnsi="Times New Roman" w:cs="Times New Roman"/>
          <w:sz w:val="24"/>
          <w:szCs w:val="24"/>
        </w:rPr>
      </w:pPr>
    </w:p>
    <w:sectPr w:rsidR="00B964E0" w:rsidRPr="008601EE">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BA025" w14:textId="77777777" w:rsidR="00935833" w:rsidRDefault="00935833" w:rsidP="0056713E">
      <w:pPr>
        <w:spacing w:after="0" w:line="240" w:lineRule="auto"/>
      </w:pPr>
      <w:r>
        <w:separator/>
      </w:r>
    </w:p>
  </w:endnote>
  <w:endnote w:type="continuationSeparator" w:id="0">
    <w:p w14:paraId="7CAE6A3D" w14:textId="77777777" w:rsidR="00935833" w:rsidRDefault="00935833" w:rsidP="0056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113472"/>
      <w:docPartObj>
        <w:docPartGallery w:val="Page Numbers (Bottom of Page)"/>
        <w:docPartUnique/>
      </w:docPartObj>
    </w:sdtPr>
    <w:sdtEndPr>
      <w:rPr>
        <w:noProof/>
      </w:rPr>
    </w:sdtEndPr>
    <w:sdtContent>
      <w:p w14:paraId="54FA613F" w14:textId="77777777" w:rsidR="00935833" w:rsidRDefault="00935833">
        <w:pPr>
          <w:pStyle w:val="Footer"/>
          <w:jc w:val="right"/>
        </w:pPr>
        <w:r>
          <w:fldChar w:fldCharType="begin"/>
        </w:r>
        <w:r>
          <w:instrText xml:space="preserve"> PAGE   \* MERGEFORMAT </w:instrText>
        </w:r>
        <w:r>
          <w:fldChar w:fldCharType="separate"/>
        </w:r>
        <w:r w:rsidR="00E86A7C">
          <w:rPr>
            <w:noProof/>
          </w:rPr>
          <w:t>2</w:t>
        </w:r>
        <w:r>
          <w:rPr>
            <w:noProof/>
          </w:rPr>
          <w:fldChar w:fldCharType="end"/>
        </w:r>
      </w:p>
    </w:sdtContent>
  </w:sdt>
  <w:p w14:paraId="24718481" w14:textId="77777777" w:rsidR="00935833" w:rsidRDefault="00935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97CD5" w14:textId="77777777" w:rsidR="00935833" w:rsidRDefault="00935833" w:rsidP="0056713E">
      <w:pPr>
        <w:spacing w:after="0" w:line="240" w:lineRule="auto"/>
      </w:pPr>
      <w:r>
        <w:separator/>
      </w:r>
    </w:p>
  </w:footnote>
  <w:footnote w:type="continuationSeparator" w:id="0">
    <w:p w14:paraId="354B6B70" w14:textId="77777777" w:rsidR="00935833" w:rsidRDefault="00935833" w:rsidP="005671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2D19"/>
    <w:multiLevelType w:val="hybridMultilevel"/>
    <w:tmpl w:val="9F9A8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B2A43"/>
    <w:multiLevelType w:val="hybridMultilevel"/>
    <w:tmpl w:val="97CA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55365"/>
    <w:multiLevelType w:val="hybridMultilevel"/>
    <w:tmpl w:val="54A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16259"/>
    <w:multiLevelType w:val="hybridMultilevel"/>
    <w:tmpl w:val="6BAADCF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03068A"/>
    <w:multiLevelType w:val="hybridMultilevel"/>
    <w:tmpl w:val="2E34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A10B0"/>
    <w:multiLevelType w:val="hybridMultilevel"/>
    <w:tmpl w:val="AA4A4B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130B1"/>
    <w:multiLevelType w:val="hybridMultilevel"/>
    <w:tmpl w:val="DF123CBC"/>
    <w:lvl w:ilvl="0" w:tplc="3A40F75A">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53693AA5"/>
    <w:multiLevelType w:val="hybridMultilevel"/>
    <w:tmpl w:val="F2F2C43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9B5847"/>
    <w:multiLevelType w:val="hybridMultilevel"/>
    <w:tmpl w:val="F01A9C12"/>
    <w:lvl w:ilvl="0" w:tplc="1DBE7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9C12CE"/>
    <w:multiLevelType w:val="hybridMultilevel"/>
    <w:tmpl w:val="17903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D83BC8"/>
    <w:multiLevelType w:val="hybridMultilevel"/>
    <w:tmpl w:val="CF546FA8"/>
    <w:lvl w:ilvl="0" w:tplc="0409000F">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789688FC">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251821"/>
    <w:multiLevelType w:val="hybridMultilevel"/>
    <w:tmpl w:val="BD04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B66C01"/>
    <w:multiLevelType w:val="hybridMultilevel"/>
    <w:tmpl w:val="68DC2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C08F7"/>
    <w:multiLevelType w:val="hybridMultilevel"/>
    <w:tmpl w:val="205CDD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1"/>
  </w:num>
  <w:num w:numId="4">
    <w:abstractNumId w:val="11"/>
  </w:num>
  <w:num w:numId="5">
    <w:abstractNumId w:val="2"/>
  </w:num>
  <w:num w:numId="6">
    <w:abstractNumId w:val="6"/>
  </w:num>
  <w:num w:numId="7">
    <w:abstractNumId w:val="8"/>
  </w:num>
  <w:num w:numId="8">
    <w:abstractNumId w:val="7"/>
  </w:num>
  <w:num w:numId="9">
    <w:abstractNumId w:val="3"/>
  </w:num>
  <w:num w:numId="10">
    <w:abstractNumId w:val="13"/>
  </w:num>
  <w:num w:numId="11">
    <w:abstractNumId w:val="12"/>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EC"/>
    <w:rsid w:val="00013AFF"/>
    <w:rsid w:val="00021284"/>
    <w:rsid w:val="0002346D"/>
    <w:rsid w:val="00042ACE"/>
    <w:rsid w:val="00054235"/>
    <w:rsid w:val="000654A1"/>
    <w:rsid w:val="000A2DAE"/>
    <w:rsid w:val="000C053D"/>
    <w:rsid w:val="000C306D"/>
    <w:rsid w:val="00105D40"/>
    <w:rsid w:val="001312CE"/>
    <w:rsid w:val="00147131"/>
    <w:rsid w:val="00150F5E"/>
    <w:rsid w:val="001533B9"/>
    <w:rsid w:val="0016116E"/>
    <w:rsid w:val="0016654C"/>
    <w:rsid w:val="00175887"/>
    <w:rsid w:val="0017710C"/>
    <w:rsid w:val="001817A0"/>
    <w:rsid w:val="00184AFB"/>
    <w:rsid w:val="001A162B"/>
    <w:rsid w:val="001C2479"/>
    <w:rsid w:val="00202D5A"/>
    <w:rsid w:val="00224E97"/>
    <w:rsid w:val="00244A28"/>
    <w:rsid w:val="00255211"/>
    <w:rsid w:val="00255A48"/>
    <w:rsid w:val="00260504"/>
    <w:rsid w:val="00260688"/>
    <w:rsid w:val="002651FE"/>
    <w:rsid w:val="002C58E1"/>
    <w:rsid w:val="002E0981"/>
    <w:rsid w:val="002F0B45"/>
    <w:rsid w:val="0030200B"/>
    <w:rsid w:val="0031535E"/>
    <w:rsid w:val="003156E9"/>
    <w:rsid w:val="0032467A"/>
    <w:rsid w:val="00387919"/>
    <w:rsid w:val="003954FF"/>
    <w:rsid w:val="003C65E2"/>
    <w:rsid w:val="003D6201"/>
    <w:rsid w:val="003E28BC"/>
    <w:rsid w:val="003F193C"/>
    <w:rsid w:val="003F52EC"/>
    <w:rsid w:val="004166F3"/>
    <w:rsid w:val="00417CEC"/>
    <w:rsid w:val="004216E0"/>
    <w:rsid w:val="0042558C"/>
    <w:rsid w:val="00452C3E"/>
    <w:rsid w:val="00472DB2"/>
    <w:rsid w:val="004829C5"/>
    <w:rsid w:val="00482A30"/>
    <w:rsid w:val="004A7897"/>
    <w:rsid w:val="004B4318"/>
    <w:rsid w:val="004D185C"/>
    <w:rsid w:val="004D5BBE"/>
    <w:rsid w:val="004D7356"/>
    <w:rsid w:val="004E1DCF"/>
    <w:rsid w:val="004F6C8C"/>
    <w:rsid w:val="00525C86"/>
    <w:rsid w:val="00540395"/>
    <w:rsid w:val="00544D82"/>
    <w:rsid w:val="0056713E"/>
    <w:rsid w:val="005D0646"/>
    <w:rsid w:val="005D5FC8"/>
    <w:rsid w:val="005F41CF"/>
    <w:rsid w:val="00612797"/>
    <w:rsid w:val="00612BD1"/>
    <w:rsid w:val="00634188"/>
    <w:rsid w:val="00637BCE"/>
    <w:rsid w:val="00640338"/>
    <w:rsid w:val="00642A40"/>
    <w:rsid w:val="00643E04"/>
    <w:rsid w:val="0067784A"/>
    <w:rsid w:val="00683BDF"/>
    <w:rsid w:val="00691D07"/>
    <w:rsid w:val="006A2498"/>
    <w:rsid w:val="006A6B48"/>
    <w:rsid w:val="006D5C17"/>
    <w:rsid w:val="006E6034"/>
    <w:rsid w:val="00731490"/>
    <w:rsid w:val="00731805"/>
    <w:rsid w:val="00742360"/>
    <w:rsid w:val="00763885"/>
    <w:rsid w:val="00782380"/>
    <w:rsid w:val="00790F81"/>
    <w:rsid w:val="007C1E12"/>
    <w:rsid w:val="007E418F"/>
    <w:rsid w:val="007F4FE4"/>
    <w:rsid w:val="00811BC7"/>
    <w:rsid w:val="008151CC"/>
    <w:rsid w:val="0081775F"/>
    <w:rsid w:val="008247D5"/>
    <w:rsid w:val="00856CF8"/>
    <w:rsid w:val="008574EF"/>
    <w:rsid w:val="008601EE"/>
    <w:rsid w:val="00862205"/>
    <w:rsid w:val="0088242E"/>
    <w:rsid w:val="008E35DC"/>
    <w:rsid w:val="009227CC"/>
    <w:rsid w:val="00935833"/>
    <w:rsid w:val="00945CE6"/>
    <w:rsid w:val="0097208E"/>
    <w:rsid w:val="00983DC9"/>
    <w:rsid w:val="0099318E"/>
    <w:rsid w:val="009932C8"/>
    <w:rsid w:val="009A1708"/>
    <w:rsid w:val="009B0216"/>
    <w:rsid w:val="009B078E"/>
    <w:rsid w:val="009B55D5"/>
    <w:rsid w:val="009D010C"/>
    <w:rsid w:val="009E3770"/>
    <w:rsid w:val="00A124DA"/>
    <w:rsid w:val="00A30E59"/>
    <w:rsid w:val="00A316C8"/>
    <w:rsid w:val="00A662D3"/>
    <w:rsid w:val="00AA1312"/>
    <w:rsid w:val="00AA2153"/>
    <w:rsid w:val="00AC539A"/>
    <w:rsid w:val="00AD3F73"/>
    <w:rsid w:val="00B14505"/>
    <w:rsid w:val="00B2219A"/>
    <w:rsid w:val="00B2762F"/>
    <w:rsid w:val="00B56C43"/>
    <w:rsid w:val="00B644E9"/>
    <w:rsid w:val="00B65A8B"/>
    <w:rsid w:val="00B80997"/>
    <w:rsid w:val="00B92122"/>
    <w:rsid w:val="00B96213"/>
    <w:rsid w:val="00B964E0"/>
    <w:rsid w:val="00BA4C6B"/>
    <w:rsid w:val="00BB7842"/>
    <w:rsid w:val="00BD1865"/>
    <w:rsid w:val="00C002CD"/>
    <w:rsid w:val="00C16410"/>
    <w:rsid w:val="00C615E9"/>
    <w:rsid w:val="00C856B6"/>
    <w:rsid w:val="00CA583E"/>
    <w:rsid w:val="00CA71A1"/>
    <w:rsid w:val="00CB11A5"/>
    <w:rsid w:val="00CB2AAB"/>
    <w:rsid w:val="00CB68E8"/>
    <w:rsid w:val="00CC15E7"/>
    <w:rsid w:val="00CC355C"/>
    <w:rsid w:val="00CD5CC3"/>
    <w:rsid w:val="00D06FC9"/>
    <w:rsid w:val="00D14623"/>
    <w:rsid w:val="00D226ED"/>
    <w:rsid w:val="00D24E09"/>
    <w:rsid w:val="00D4210D"/>
    <w:rsid w:val="00D42B08"/>
    <w:rsid w:val="00D67083"/>
    <w:rsid w:val="00D83888"/>
    <w:rsid w:val="00D916F5"/>
    <w:rsid w:val="00D92053"/>
    <w:rsid w:val="00DB0A62"/>
    <w:rsid w:val="00DC08C4"/>
    <w:rsid w:val="00DC6A9E"/>
    <w:rsid w:val="00E21987"/>
    <w:rsid w:val="00E322F9"/>
    <w:rsid w:val="00E4444A"/>
    <w:rsid w:val="00E660A2"/>
    <w:rsid w:val="00E86A7C"/>
    <w:rsid w:val="00E93811"/>
    <w:rsid w:val="00EB7F85"/>
    <w:rsid w:val="00ED6E24"/>
    <w:rsid w:val="00F11595"/>
    <w:rsid w:val="00F12A74"/>
    <w:rsid w:val="00F27183"/>
    <w:rsid w:val="00F4052C"/>
    <w:rsid w:val="00FC3D93"/>
    <w:rsid w:val="00FE6B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BC6AF"/>
  <w15:docId w15:val="{44465692-FB60-40B1-8E7D-78AFAAF5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72DB2"/>
    <w:pPr>
      <w:keepNext/>
      <w:spacing w:after="120" w:line="240" w:lineRule="auto"/>
      <w:outlineLvl w:val="0"/>
    </w:pPr>
    <w:rPr>
      <w:rFonts w:ascii="Arial" w:eastAsia="MS Mincho" w:hAnsi="Arial" w:cs="Times New Roman"/>
      <w:b/>
      <w:caps/>
      <w:spacing w:val="-2"/>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10C"/>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uiPriority w:val="1"/>
    <w:qFormat/>
    <w:rsid w:val="009D010C"/>
    <w:pPr>
      <w:spacing w:after="0" w:line="240" w:lineRule="auto"/>
    </w:pPr>
  </w:style>
  <w:style w:type="character" w:styleId="CommentReference">
    <w:name w:val="annotation reference"/>
    <w:basedOn w:val="DefaultParagraphFont"/>
    <w:rsid w:val="009D010C"/>
    <w:rPr>
      <w:sz w:val="16"/>
      <w:szCs w:val="16"/>
    </w:rPr>
  </w:style>
  <w:style w:type="paragraph" w:styleId="CommentText">
    <w:name w:val="annotation text"/>
    <w:basedOn w:val="Normal"/>
    <w:link w:val="CommentTextChar"/>
    <w:rsid w:val="009D010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D010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D0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10C"/>
    <w:rPr>
      <w:rFonts w:ascii="Tahoma" w:hAnsi="Tahoma" w:cs="Tahoma"/>
      <w:sz w:val="16"/>
      <w:szCs w:val="16"/>
    </w:rPr>
  </w:style>
  <w:style w:type="paragraph" w:styleId="NormalWeb">
    <w:name w:val="Normal (Web)"/>
    <w:basedOn w:val="Normal"/>
    <w:unhideWhenUsed/>
    <w:rsid w:val="00983D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80997"/>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B80997"/>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rsid w:val="00472DB2"/>
    <w:rPr>
      <w:rFonts w:ascii="Arial" w:eastAsia="MS Mincho" w:hAnsi="Arial" w:cs="Times New Roman"/>
      <w:b/>
      <w:caps/>
      <w:spacing w:val="-2"/>
      <w:sz w:val="28"/>
      <w:szCs w:val="28"/>
      <w:lang w:val="en-US" w:eastAsia="en-GB"/>
    </w:rPr>
  </w:style>
  <w:style w:type="paragraph" w:styleId="Header">
    <w:name w:val="header"/>
    <w:basedOn w:val="Normal"/>
    <w:link w:val="HeaderChar"/>
    <w:uiPriority w:val="99"/>
    <w:unhideWhenUsed/>
    <w:rsid w:val="00567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13E"/>
  </w:style>
  <w:style w:type="paragraph" w:styleId="Footer">
    <w:name w:val="footer"/>
    <w:basedOn w:val="Normal"/>
    <w:link w:val="FooterChar"/>
    <w:uiPriority w:val="99"/>
    <w:unhideWhenUsed/>
    <w:rsid w:val="00567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13E"/>
  </w:style>
  <w:style w:type="paragraph" w:customStyle="1" w:styleId="Table8">
    <w:name w:val="Table 8"/>
    <w:basedOn w:val="Normal"/>
    <w:link w:val="Table8Char"/>
    <w:rsid w:val="00683BDF"/>
    <w:pPr>
      <w:tabs>
        <w:tab w:val="center" w:pos="5932"/>
      </w:tabs>
      <w:autoSpaceDE w:val="0"/>
      <w:autoSpaceDN w:val="0"/>
      <w:adjustRightInd w:val="0"/>
      <w:spacing w:after="0" w:line="240" w:lineRule="auto"/>
    </w:pPr>
    <w:rPr>
      <w:rFonts w:ascii="Times New Roman" w:eastAsia="Times New Roman" w:hAnsi="Times New Roman" w:cs="Times New Roman"/>
      <w:b/>
      <w:sz w:val="20"/>
      <w:szCs w:val="20"/>
      <w:lang w:val="en-US"/>
    </w:rPr>
  </w:style>
  <w:style w:type="character" w:customStyle="1" w:styleId="Table8Char">
    <w:name w:val="Table 8 Char"/>
    <w:link w:val="Table8"/>
    <w:rsid w:val="00683BDF"/>
    <w:rPr>
      <w:rFonts w:ascii="Times New Roman" w:eastAsia="Times New Roman" w:hAnsi="Times New Roman" w:cs="Times New Roman"/>
      <w:b/>
      <w:sz w:val="20"/>
      <w:szCs w:val="20"/>
      <w:lang w:val="en-US"/>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683BDF"/>
    <w:pPr>
      <w:spacing w:after="160" w:line="240" w:lineRule="exact"/>
    </w:pPr>
    <w:rPr>
      <w:rFonts w:ascii="Arial" w:eastAsia="Times New Roman" w:hAnsi="Arial" w:cs="Arial"/>
      <w:sz w:val="20"/>
      <w:szCs w:val="20"/>
      <w:lang w:val="en-US"/>
    </w:rPr>
  </w:style>
  <w:style w:type="paragraph" w:styleId="Revision">
    <w:name w:val="Revision"/>
    <w:hidden/>
    <w:uiPriority w:val="99"/>
    <w:semiHidden/>
    <w:rsid w:val="00023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5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DC5E-65EC-4387-8931-FB54A802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Whitehead, Ralph (Donnie) (CDC/ONDIEH/NCEH)</cp:lastModifiedBy>
  <cp:revision>3</cp:revision>
  <cp:lastPrinted>2012-06-01T10:49:00Z</cp:lastPrinted>
  <dcterms:created xsi:type="dcterms:W3CDTF">2016-05-18T13:16:00Z</dcterms:created>
  <dcterms:modified xsi:type="dcterms:W3CDTF">2016-05-18T13:30:00Z</dcterms:modified>
</cp:coreProperties>
</file>